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85" w:rsidRPr="008B4285" w:rsidRDefault="008B4285" w:rsidP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bookmarkStart w:id="0" w:name="_GoBack"/>
      <w:bookmarkEnd w:id="0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Page 1/8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Date d'impression 24/10/2018 Avis du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·produit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Graisse Navi-Guard haute température rouge EP 2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Numéro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l'article: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11063-2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Coordonnées du fournisseur de la fiche de données de sécurité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Fabricant: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Battenfeld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Grease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&amp;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Oil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Corporation de New York 1174, avenue Erie, case postale 728 NORTH TONAWANDA, NY 14120-0728, États-Unis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info@battenfeld-grease.comDépartement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de l'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informa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tion: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Département technique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Numéro de téléphone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d'urgence: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Pendant heures normales d'ouverture: +1 (716) 695 2100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* 2 Identification du (des) danger (s)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Classification de la substance ou du mélange di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GHS07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Eye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Irrit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. 2A H319 Provoque une sévère irrita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tion des yeux.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Éléments d'étiquetage · Éléments d'étiquetage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SGH Le produit est classé et étiqueté selon le système général harmonisé (SGH).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Pictogrammes de danger de GHS07Mentions de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Mention d'avertissement Attention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·danger Provoque une sévère irritation des yeux.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Conseils de prudence Se laver soigneusement après manipulation. Portez des lunettes de protection / protection du visage. En cas de contact avec les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yeux: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rincer avec précaution à l'eau pendant plusieurs m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inutes. Retirez les lentilles cornéennes, si elles sont présentes et faciles à faire. Continuer à rincer. Si l'irritation oculaire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persiste: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consulter un médecin.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Système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classification: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Cotes NFPA (échelle 0 - 4)</w:t>
      </w:r>
      <w:r w:rsidRPr="008B4285">
        <w:rPr>
          <w:rFonts w:ascii="Times" w:eastAsia="Times" w:hAnsi="Times" w:cs="Times"/>
          <w:color w:val="FFFFFF"/>
          <w:sz w:val="20"/>
          <w:szCs w:val="20"/>
        </w:rPr>
        <w:t>2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Santé = 2 Incendies = 1 Réactivité = 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Cotes HMIS (échelle 0 -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4)</w:t>
      </w:r>
      <w:r w:rsidRPr="008B4285">
        <w:rPr>
          <w:rFonts w:ascii="Times" w:eastAsia="Times" w:hAnsi="Times" w:cs="Times"/>
          <w:color w:val="FFFFFF"/>
          <w:sz w:val="20"/>
          <w:szCs w:val="20"/>
        </w:rPr>
        <w:t>NTÉDES</w:t>
      </w:r>
      <w:r w:rsidRPr="008B4285">
        <w:rPr>
          <w:rFonts w:ascii="Times" w:eastAsia="Times" w:hAnsi="Times" w:cs="Times"/>
          <w:color w:val="FFFFFF"/>
          <w:sz w:val="20"/>
          <w:szCs w:val="20"/>
        </w:rPr>
        <w:t>ENDIES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RÉACTIVITÉ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* 2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1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Santé = * 2 Incendie = 1 Réactivité = 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page 2)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083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sz w:val="20"/>
          <w:szCs w:val="20"/>
        </w:rPr>
        <w:br w:type="page"/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 xml:space="preserve">Page 2/8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Date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d'impression: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24/10/2018 Révisé le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Grille EP 2Navi-Guard Hi Temp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1)(suite de la page 1)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Autres dangers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Résultats des évaluations PBT et 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vPvB</w:t>
      </w:r>
      <w:proofErr w:type="spell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PBT: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N'est pas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spellStart"/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VPvB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applicable.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mposition</w:t>
      </w:r>
      <w:proofErr w:type="spellEnd"/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/ informations sur les composants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Caractérisation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chimique: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Mélanges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Description: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Mélange des substances énumérées ci-dessous avec des additifs non dangereux.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Composants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dangereux: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68457-79-4 Zinc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Dialkylthiophosphate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0.5-1.5%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emiers secours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Description des premiers secours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Après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inhalation: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Donner de l'air frais; consulter un médecin en cas de troubles.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Après contact avec la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peau: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En règle générale, le produit n'irrite pas la peau.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Après contact avec les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yeux: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Rince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r les yeux ouverts pendant plusieurs minutes sous l'eau courante. Si les symptômes persistent, consultez un médecin.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Après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ingestion: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Si les symptômes persistent, consulter un médecin.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Indications destinées au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médecin: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Principaux symptômes et effets, aigus et différés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Indication des éventuels soins médicaux immédiats et traitements particuliers nécessaires Pas d'autres informations importantes 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disponibles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sures</w:t>
      </w:r>
      <w:proofErr w:type="spellEnd"/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de lutte contre l'incendie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Moyens d'extinction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Moyens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d'extinction: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utiliser des mesures de lutte contre l'incendie adaptées à l'environnement.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Dangers particuliers résultant de la substance ou du mélange Pas d'autres informations importantes disponi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Conseils aux pompiers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Equipement spécial de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sécurité: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Aucune mesure particulière n'est requise.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Mesures à prendre en cas 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dispersion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Précautions individuelles, équipement de protection et procédures d'urgence Pas nécessaire.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Précautions pour la protection de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l'environnement: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Ne pas laisser pénétrer dans les égouts / les eaux de surface ou les eaux souterraines.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Méthodes et matériel de confinement et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nettoyage: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Ramasser mécaniquement.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Référence à d'autres sections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Voir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la section 7 pour des informations sur la manipulation sans danger. Voir la section 8 pour plus d'informations sur les équipements de protection individuelle. Voir la section 13 pour des informations sur l'élimination.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Critères d'action de protection po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ur les produits chimiques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PAC-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1: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471-34-1 carbonate de calcium précipité 45 mg / m3 108-31-6 anhydride maléique 0,2 ppm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PAC-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2: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471-34-1 carbonate de calcium précipité 210 mg / m3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083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Page 3/8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>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Date d'impression 24/10/2018 Avis du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spellStart"/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commercial:EP</w:t>
      </w:r>
      <w:proofErr w:type="spellEnd"/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2Navi-Guard Hi Temp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2)(suite de la page 2)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Grille108-31-6 anhydride maléique 2 ppm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PAC-3 : 471-34-1 carbonate de calcium, précipité 1 300 mg / m3 108-31-6 anhydride maléique 20 ppm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7 Manipulation et stockage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Manipulation: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Précautions à prendre pour une manipulation sans danger Aucune précaution particulière n'est nécessaire si utilisé correctement.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Information sur la protection contre les explosions et les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incendies: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Aucune mesure particulière n'est requise.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Condition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 d'un stockage sûr, y compris d'éventuelles incompatibilités.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Stockage: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Exigences concernant les lieux et conteneurs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stockage: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Aucune exigence particulière.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Informations sur le stockage dans une installation de stockage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commune: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requis.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Aut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res indications sur les conditions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stockage: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Garder le récipient bien fermé.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Utilisation (s) finale (s) particulière (s)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* 8 Contrôles de l'exposition / protection individuelle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Informations supplémentaires sur la conception des systèmes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techniques: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Pas de données supplémentaires; voir le point 7.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Paramètres de contrôle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Composants pour lesquels les valeurs limites doivent être surveillées sur le lieu de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travail: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Les composan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ts suivants sont les seuls composants du produit pour lesquels une limite d'exposition PEL, TLV ou autre est recommandée. À l'heure actuelle, le constituant restant n'a pas de limite d'exposition connue. 64742-65-0 distillats paraffiniques lourds (pétrole)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, déparaffinés au solvant (30-60%) ACGIH TLV Valeur à long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terme: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5 mg / m3 OSHA PEL Valeur à long terme: 5 mg / m3 64742-01-4 Huiles résiduelles (pétrole), raffiné au solvant (10-30%) OSHA PEL Valeur à long terme: 5 mg / m3 64742-52-5 Distillats naphténiq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ues lourds de pétrole (hydrotraités) (3-7%) ACGIH TLV Valeur à court terme: 10 mg / m3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104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Valeur à long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terme: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5 mg / m3 OSHA PEL Valeur à long terme: 5 mg / m3 471-34-1 carbonate de calcium précipité (1-5%) PEL Valeur à long terme: 15 * 5 ** mg / m3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104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* poussi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ère totale ** fraction respirable REL Valeur à long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terme: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10 * 5 ** mg / m3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104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* poussière totale ** fraction respirable TLV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TLV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retirée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Informations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complémentaires: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Les listes en cours de création ont été utilisées comme base 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Contrôles de l'expositio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n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Equipement de protection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individuel: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Mesures générales de protection et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d'hygiène: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Tenir à l'écart des produits alimentaires, des boissons et de la nourriture pour animaux. Enlever immédiatement tous les vêtements souillés et contaminés.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(Suite page 4)</w:t>
      </w:r>
    </w:p>
    <w:p w:rsidR="003E4485" w:rsidRPr="008B4285" w:rsidRDefault="008B4285" w:rsidP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sz w:val="20"/>
          <w:szCs w:val="20"/>
        </w:rPr>
        <w:br w:type="page"/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 xml:space="preserve">Page 4/8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Date d'impression 24/10/2018 Révisé le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Grille EP rouge 2Navi-Guard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3)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 Se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laver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les mains avant les pauses et à la fin du travail. Eviter le contact avec les yeux. Eviter le contact avec les yeux et la peau.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Équipement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respiratoire: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requis.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Protection des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mains: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 matériau des gants doit être imperméable et résistant au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produit / à la substance / à la préparation. En raison de l'absence de tests, aucune recommandation pour le matériau des gants pour le produit / la préparation / le mélange de produits chimiques ne peut être donnée. Choix du matériau des gants en fonction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des temps de pénétration, des taux de diffusion et de la dégradation.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Matériau des gants Le choix du gant approprié dépend non seulement du matériau, mais également d'autres critères de qualité qui varient d'un fabricant à l'autre. Le produit étant une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préparation de plusieurs substances, la résistance du matériau des gants ne peut pas être calculée à l'avance et doit donc être vérifiée avant l'application.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Temps de pénétration du matériau des gants Le temps de pénétration exact est à déterminer par le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fabricant des gants de protection et à respecter.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Protection des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yeux: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_R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Lunettes de protection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hermétiques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riétés</w:t>
      </w:r>
      <w:proofErr w:type="spellEnd"/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physiques et chimiques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Informations sur les propriétés physiques et chimiques essentielles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Informations générales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Aspect: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Forme: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Semi-solide Couleur: Rouge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Odeur: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De type pétrolier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Seuil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olfactif: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déterminé.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Valeur du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pH: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Changement d'état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Point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fusion: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déterminé. Point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d'ébullition: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338 ° C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Point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d'éclair: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244 ° C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Inflammabilité (solide, gazeux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):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déterminé.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Température d'inflammation:&gt; 315 ° C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Température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décomposition: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déterminé.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Auto-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inflammation: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 produit ne s'enflamme pas spontanément.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Danger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d'explosion: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 produit ne présente pas de risque d'explosion.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Limites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d'explosion: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Inférieure: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déterminé.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Supérieur: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déterminé.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Pression de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vapeur: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Densité à 20 °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0.93329 g / cm3 (7.78831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lbs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/ gal)</w:t>
      </w:r>
    </w:p>
    <w:p w:rsidR="003E4485" w:rsidRPr="008B4285" w:rsidRDefault="008B4285" w:rsidP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sz w:val="20"/>
          <w:szCs w:val="20"/>
        </w:rPr>
        <w:br w:type="page"/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>page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5/8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Date d'impression 24/10/2018 Avis du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Grille EP 2Navi-Guard Hi Temp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4)(suite de la page 4)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Densité relative. Non déterminé.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Densité de vapeur.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Taux d'évaporation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Solubilité dans / miscibilité avec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l'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eau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: insoluble.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Coefficient de partage (n-octanol / eau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):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déterminé.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Viscosité:</w:t>
      </w:r>
      <w:proofErr w:type="gramEnd"/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Dynamique: Non applicable.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Cinématique: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Teneur en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solvants:</w:t>
      </w:r>
      <w:proofErr w:type="gramEnd"/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Teneur en COV: 0.00%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0.0 g / l / 0.00 lb /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gl</w:t>
      </w:r>
      <w:proofErr w:type="spell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Teneur en substances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solides: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11.6%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Autres informations Pas d'autres informations importantes disponibles.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10 Stabilité et réactiv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ité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Réactivité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Stabilité chimique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Décomposition thermique / conditions à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éviter: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Pas de décomposition si utilisé conformément aux spécifications.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Possibilité de réactions dangereuses Aucune réactio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n dangereuse connue.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Conditions à éviter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Matières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incompatibles: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Produits de décomposition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dangereux: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Pas de produits de décomposition dangereux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con</w:t>
      </w:r>
      <w:r>
        <w:rPr>
          <w:rFonts w:ascii="Times" w:eastAsia="Times" w:hAnsi="Times" w:cs="Times"/>
          <w:i/>
          <w:color w:val="000000"/>
          <w:sz w:val="20"/>
          <w:szCs w:val="20"/>
        </w:rPr>
        <w:t>nus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rmations</w:t>
      </w:r>
      <w:proofErr w:type="spellEnd"/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toxicologiques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Informations sur les effets toxicologiques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Toxicité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aiguë: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Valeurs de LD / CL50 déterminantes pour la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classification: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ATE (Estimation de la toxicité aiguë) DL50 orale&gt; 7 324-7,528 mg / kg (rat) DL50 cutanée&gt; 162,272 mg / kg (rat) lapin)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Effet primaire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d'irritation: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de la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peau: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Pas d'effet d'irritation.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Des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yeux: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Effet irritant.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Sensibilisation: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Aucun effet de sensibilisation connu.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Indications toxicologiques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complémentaires: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Le produit présente les dangers suivants selon les méthodes de calcul de préparations approuvées: Irritant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Catégories cancérogèn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par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le fabricant· IARC (Centre international de recherche sur le cancer) 9002-88-4 Polyéthylène haute densité polymère 3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NTP (Programme national de toxicologie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) )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Aucun des ingrédients n’est répertorié.</w:t>
      </w:r>
    </w:p>
    <w:p w:rsidR="003E4485" w:rsidRPr="008B4285" w:rsidRDefault="008B4285" w:rsidP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>
        <w:br w:type="page"/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 xml:space="preserve">Page 6/8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Date d'impression 24/10/2018 Revu le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Gril rouge EP 2Navi-Guard Hi Temp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5)(suite de la page 5)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OSHA-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Ca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(Administration de la sécurité et de la santé au travail) Aucune de les ingrédients sont répertoriés.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* 12 Informations écologiques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Toxicité · Toxicité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aquatique: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Persistance et dégradabilité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Comportement dans les systèmes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environnementaux: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Potentiel de bioaccumulation Pas d'autres informations importantes disponibles.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Mobilité dans le sol Pas d'autres informations importantes disponible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Autres indications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écologiques: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· Remarques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générales: Catégorie de pollution des eaux 1 (Auto-évaluation): moyennement dangereuse pour l'eau. Ne pas laisser le produit, non dilué, ou en grande quantité, pénétrer dans les eaux souterraines, les cours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d'eau ou les égouts.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Résultats des évaluations PBT et VPVB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PBT: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spellStart"/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VPvB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Autres effets néfastes Pas d'autres informations importantes </w:t>
      </w:r>
      <w:proofErr w:type="spellStart"/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disponibles.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sidérations</w:t>
      </w:r>
      <w:proofErr w:type="spellEnd"/>
      <w:proofErr w:type="gramEnd"/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relatives à l'élimination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Méthodes de traitement des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déchets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Recommandation: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Ne doit pas être évacué avec les ordures ménagères. Ne pas laisser le produit atteindre les égouts.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Emballages non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nettoyés:</w:t>
      </w:r>
      <w:proofErr w:type="gramEnd"/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Recommandation: L'élimination doit être effectuée conformément à la réglementation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officielle.</w:t>
      </w: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rmations</w:t>
      </w:r>
      <w:proofErr w:type="spellEnd"/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 xml:space="preserve"> relatives au transport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Numéro ONU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ADN, IMDG, IATA non réglementé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Nom d'expédition des Nations unies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ADN, IMDG, IATA non réglementé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Classe (s) de danger pour le transport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ADN, IMDG, IATA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Classe non réglementé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Groupe d'emballage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DOT, IMDG, IATA non réglementé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Dangers pour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l'environnement:</w:t>
      </w:r>
      <w:proofErr w:type="gram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Polluant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marin: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Précautions particulières à prendre par l'utilisateur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Transport en vrac conformément à l'annexe II de la convention 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Marpol</w:t>
      </w:r>
      <w:proofErr w:type="spell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73/78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et au recueil IBC Non applicable.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(Suite page 7)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US</w:t>
      </w:r>
    </w:p>
    <w:p w:rsidR="003E4485" w:rsidRPr="008B4285" w:rsidRDefault="008B4285" w:rsidP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sz w:val="20"/>
          <w:szCs w:val="20"/>
        </w:rPr>
        <w:br w:type="page"/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 xml:space="preserve">Page 7/8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"OSHA HCS"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Date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d'impression: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24/10/2018 Revu le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Grease</w:t>
      </w:r>
      <w:proofErr w:type="spell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EP 2Navi-Guard Hi Temp Red Light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6)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"Règlement type" de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l'ONU: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non réglementé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* 15 Informations réglementaires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Réglementations / législation particulières à la substance ou au mélange en matière de sécurité, de santé et d'environnement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Sara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Section 355 (substances extrêmement dangereuses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):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Aucun des composants n'est compris.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Section 313 (Liste de substances chimiques toxiques spécifiques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):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68457-79-4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Dialkylthiophosphate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de zinc 0,5-1,5% 108-31-6 anhydride maléique 0,1-1%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TSCA (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Toxic</w:t>
      </w:r>
      <w:proofErr w:type="spell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Substances Control 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Act</w:t>
      </w:r>
      <w:proofErr w:type="spellEnd"/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):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Tous les composants sont répertoriés.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Proposition 65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Produits chimiques connus pour causer le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cancer: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Aucun des ingrédients n'est répertorié.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Produits chimiques connus pour causer une toxicité sur la reproductio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 pour les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femmes: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Aucun des ingrédients n'est répertorié.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Produits chimiques connus pour entraîner une toxicité sur la reproduction pour les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hommes: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Aucun des composants n'est compris dans la liste.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Produits chimiques connus pour causer une toxicité s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ur le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développement: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Aucun des composants n'est répertorié.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Catégories cancérogènes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EPA (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Environmental</w:t>
      </w:r>
      <w:proofErr w:type="spell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Protection Agency) Aucun des composants n'est compris.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TLV (valeur limite d'exposition établie par l'ACGIH) 108-31-6 anhydride maléique A4compris d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ans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NIOSH-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Ca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(Institut national pour la sécurité et la santé au travail) Aucun des ingrédients n'</w:t>
      </w:r>
      <w:proofErr w:type="spell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estla</w:t>
      </w:r>
      <w:proofErr w:type="spell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liste.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Éléments d'étiquetage SGH Le produit est classé et étiqueté selon le système général harmonisé (SGH).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Pictogrammes de danger de GHS07Mention</w:t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s de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Mention d'avertissement Attention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·danger Provoque une sévère irritation des yeux.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Conseils de prudence Se laver soigneusement après manipulation. Portez des lunettes de protection / protection du visage. En cas de contact avec les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yeux: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rincer av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ec précaution à l'eau pendant plusieurs minutes. Retirez les lentilles cornéennes, si elles sont présentes et faciles à faire. Continuer à rincer.</w:t>
      </w:r>
    </w:p>
    <w:p w:rsidR="003E4485" w:rsidRPr="008B4285" w:rsidRDefault="008B4285" w:rsidP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sz w:val="20"/>
          <w:szCs w:val="20"/>
        </w:rPr>
        <w:br w:type="page"/>
      </w: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lastRenderedPageBreak/>
        <w:t xml:space="preserve">Page 8/8 Fiche de données de sécurité selon.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to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OSHA HCS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Date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d'impression: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24/10/2018 Révisé le 24/10/2018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Nom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commercial: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Gril rouge EP 2Navi-Guard Hi Temp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 w:rsidRPr="008B4285">
        <w:rPr>
          <w:rFonts w:ascii="Times" w:eastAsia="Times" w:hAnsi="Times" w:cs="Times"/>
          <w:color w:val="000000"/>
          <w:sz w:val="20"/>
          <w:szCs w:val="20"/>
        </w:rPr>
        <w:t>suite</w:t>
      </w:r>
      <w:proofErr w:type="gramEnd"/>
      <w:r w:rsidRPr="008B4285">
        <w:rPr>
          <w:rFonts w:ascii="Times" w:eastAsia="Times" w:hAnsi="Times" w:cs="Times"/>
          <w:color w:val="000000"/>
          <w:sz w:val="20"/>
          <w:szCs w:val="20"/>
        </w:rPr>
        <w:t xml:space="preserve"> de la page 7).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47.0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Si l'irritation oculaire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persiste: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consulter un médecin.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Évaluation de la sécurité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chimique: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Aucune évaluation de la sécurité chimique n'a été réalisée.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FFFFFF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FFFFFF"/>
          <w:sz w:val="20"/>
          <w:szCs w:val="20"/>
        </w:rPr>
        <w:t>16 Autres informations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Ces informations sont basées sur nos connaissances actuelles. Toutefois, cela ne constitue pas une garantie pour des caractéristiques s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pécifiques du produit et ne permet pas d'établir une relation contractuelle juridiquement valide.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· Département établissant la </w:t>
      </w:r>
      <w:proofErr w:type="gramStart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FDS:</w:t>
      </w:r>
      <w:proofErr w:type="gramEnd"/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Département technique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· 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Contact: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Mme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McDaniel</w:t>
      </w:r>
      <w:proofErr w:type="spellEnd"/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Date de préparation / dernière révision 10/24/2018 / 24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· Abréviations et acronymes: ADR: Accord européen sur le transport de marchandises dangereuses par route Transport de marchandises dangereuses par route) IMDG: Code maritime international des marchandises dangereuses DOT: Département des transports des Éta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ts-Unis IATA: Association du transport aérien international ACGIH: Conférence américaine des hygiénistes industriels gouvernementaux EINECS: Inventaire européen des substances chimiques commerciales existantes ELINCS: Liste européenne des substances notifi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ées Substances chimiques CAS: Chemical Abstracts Service (division de l'American Chemical Society) NFPA: Association nationale de protection contre les incendies (États-Unis) HMIS: Système d'identification des matières dangereuses (États-Unis) COV: Composé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s organiques volatils (États-Unis et Union européenne) LC50: Concentration létale, 50% DL50: dose létale, 50% de PBT: persistant, bioaccumulable et toxique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vPvB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: très persistant NIOSH: Institut national pour la sécurité au travail OSHA: Sécurité et santé a</w:t>
      </w:r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u travail TLV: Valeur limite d'exposition PEL: Limite d'exposition permise REL: Limite d'exposition recommandée: Eye </w:t>
      </w:r>
      <w:proofErr w:type="spell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Irrit</w:t>
      </w:r>
      <w:proofErr w:type="spell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. 2</w:t>
      </w:r>
      <w:proofErr w:type="gramStart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>A:</w:t>
      </w:r>
      <w:proofErr w:type="gramEnd"/>
      <w:r w:rsidRPr="008B4285">
        <w:rPr>
          <w:rFonts w:ascii="Times" w:eastAsia="Times" w:hAnsi="Times" w:cs="Times"/>
          <w:i/>
          <w:color w:val="000000"/>
          <w:sz w:val="20"/>
          <w:szCs w:val="20"/>
        </w:rPr>
        <w:t xml:space="preserve"> Lésions oculaires graves / irritation oculaire - Catégorie 2A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20"/>
          <w:szCs w:val="20"/>
        </w:rPr>
      </w:pPr>
      <w:r w:rsidRPr="008B4285">
        <w:rPr>
          <w:rFonts w:ascii="Times" w:eastAsia="Times" w:hAnsi="Times" w:cs="Times"/>
          <w:b/>
          <w:i/>
          <w:color w:val="000000"/>
          <w:sz w:val="20"/>
          <w:szCs w:val="20"/>
        </w:rPr>
        <w:t>· * Données modifiées par rapport à la version précédente.</w:t>
      </w:r>
    </w:p>
    <w:p w:rsidR="003E4485" w:rsidRPr="008B4285" w:rsidRDefault="008B4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8B4285">
        <w:rPr>
          <w:rFonts w:ascii="Times" w:eastAsia="Times" w:hAnsi="Times" w:cs="Times"/>
          <w:color w:val="000000"/>
          <w:sz w:val="20"/>
          <w:szCs w:val="20"/>
        </w:rPr>
        <w:t>NOUS</w:t>
      </w:r>
    </w:p>
    <w:sectPr w:rsidR="003E4485" w:rsidRPr="008B4285" w:rsidSect="008B4285">
      <w:headerReference w:type="default" r:id="rId6"/>
      <w:pgSz w:w="12240" w:h="15840"/>
      <w:pgMar w:top="1440" w:right="1440" w:bottom="63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85" w:rsidRDefault="008B4285" w:rsidP="008B4285">
      <w:pPr>
        <w:spacing w:line="240" w:lineRule="auto"/>
      </w:pPr>
      <w:r>
        <w:separator/>
      </w:r>
    </w:p>
  </w:endnote>
  <w:endnote w:type="continuationSeparator" w:id="0">
    <w:p w:rsidR="008B4285" w:rsidRDefault="008B4285" w:rsidP="008B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85" w:rsidRDefault="008B4285" w:rsidP="008B4285">
      <w:pPr>
        <w:spacing w:line="240" w:lineRule="auto"/>
      </w:pPr>
      <w:r>
        <w:separator/>
      </w:r>
    </w:p>
  </w:footnote>
  <w:footnote w:type="continuationSeparator" w:id="0">
    <w:p w:rsidR="008B4285" w:rsidRDefault="008B4285" w:rsidP="008B4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85" w:rsidRDefault="008B4285">
    <w:pPr>
      <w:pStyle w:val="Header"/>
    </w:pPr>
    <w:r>
      <w:rPr>
        <w:noProof/>
      </w:rPr>
      <w:drawing>
        <wp:inline distT="0" distB="0" distL="0" distR="0" wp14:anchorId="2AECB302" wp14:editId="559C24CC">
          <wp:extent cx="3656032" cy="762438"/>
          <wp:effectExtent l="0" t="0" r="1905" b="0"/>
          <wp:docPr id="8" name="Picture 14">
            <a:extLst xmlns:a="http://schemas.openxmlformats.org/drawingml/2006/main">
              <a:ext uri="{FF2B5EF4-FFF2-40B4-BE49-F238E27FC236}">
                <a16:creationId xmlns:a16="http://schemas.microsoft.com/office/drawing/2014/main" id="{6B77FCA1-A709-4B83-B4CE-3230225677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6B77FCA1-A709-4B83-B4CE-3230225677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6032" cy="762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85"/>
    <w:rsid w:val="003E4485"/>
    <w:rsid w:val="008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BFB5"/>
  <w15:docId w15:val="{80A0801B-C885-47FB-B7C0-EDD55097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B42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85"/>
  </w:style>
  <w:style w:type="paragraph" w:styleId="Footer">
    <w:name w:val="footer"/>
    <w:basedOn w:val="Normal"/>
    <w:link w:val="FooterChar"/>
    <w:uiPriority w:val="99"/>
    <w:unhideWhenUsed/>
    <w:rsid w:val="008B42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Geisinger/BLNE/Brenntag</dc:creator>
  <cp:lastModifiedBy>Greg Geisinger/BLNE/Brenntag</cp:lastModifiedBy>
  <cp:revision>2</cp:revision>
  <dcterms:created xsi:type="dcterms:W3CDTF">2018-11-05T16:26:00Z</dcterms:created>
  <dcterms:modified xsi:type="dcterms:W3CDTF">2018-11-05T16:26:00Z</dcterms:modified>
</cp:coreProperties>
</file>