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5132"/>
        <w:gridCol w:w="5012"/>
        <w:gridCol w:w="356"/>
      </w:tblGrid>
      <w:tr w:rsidR="00535D5D">
        <w:trPr>
          <w:tblCellSpacing w:w="15" w:type="dxa"/>
        </w:trPr>
        <w:tc>
          <w:tcPr>
            <w:tcW w:w="245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535D5D" w:rsidRDefault="007B1A90" w:rsidP="00584582">
            <w:pPr>
              <w:rPr>
                <w:rFonts w:ascii="Arial" w:eastAsia="Times New Roman" w:hAnsi="Arial" w:cs="Arial"/>
                <w:color w:val="000000"/>
                <w:sz w:val="20"/>
                <w:szCs w:val="20"/>
              </w:rPr>
            </w:pPr>
            <w:proofErr w:type="spellStart"/>
            <w:r>
              <w:rPr>
                <w:rFonts w:ascii="Arial" w:eastAsia="Times New Roman" w:hAnsi="Arial" w:cs="Arial"/>
                <w:color w:val="000000"/>
                <w:sz w:val="20"/>
                <w:szCs w:val="20"/>
              </w:rPr>
              <w:t>Cleavol</w:t>
            </w:r>
            <w:proofErr w:type="spellEnd"/>
            <w:r>
              <w:rPr>
                <w:rFonts w:ascii="Arial" w:eastAsia="Times New Roman" w:hAnsi="Arial" w:cs="Arial"/>
                <w:color w:val="000000"/>
                <w:sz w:val="20"/>
                <w:szCs w:val="20"/>
              </w:rPr>
              <w:t xml:space="preserve"> </w:t>
            </w:r>
            <w:r w:rsidR="00584582">
              <w:rPr>
                <w:rFonts w:ascii="Arial" w:eastAsia="Times New Roman" w:hAnsi="Arial" w:cs="Arial"/>
                <w:color w:val="000000"/>
                <w:sz w:val="20"/>
                <w:szCs w:val="20"/>
              </w:rPr>
              <w:t>220</w:t>
            </w:r>
          </w:p>
        </w:tc>
        <w:tc>
          <w:tcPr>
            <w:tcW w:w="150" w:type="pct"/>
            <w:hideMark/>
          </w:tcPr>
          <w:p w:rsidR="00535D5D" w:rsidRDefault="009063E9">
            <w:pPr>
              <w:rPr>
                <w:rFonts w:eastAsia="Times New Roman"/>
              </w:rPr>
            </w:pPr>
            <w:r>
              <w:rPr>
                <w:rFonts w:eastAsia="Times New Roman"/>
              </w:rPr>
              <w:t> </w:t>
            </w:r>
          </w:p>
        </w:tc>
      </w:tr>
      <w:tr w:rsidR="00535D5D">
        <w:trPr>
          <w:tblCellSpacing w:w="15" w:type="dxa"/>
        </w:trPr>
        <w:tc>
          <w:tcPr>
            <w:tcW w:w="245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535D5D" w:rsidRDefault="007B1A90" w:rsidP="00584582">
            <w:pPr>
              <w:rPr>
                <w:rFonts w:ascii="Arial" w:eastAsia="Times New Roman" w:hAnsi="Arial" w:cs="Arial"/>
                <w:color w:val="000000"/>
                <w:sz w:val="20"/>
                <w:szCs w:val="20"/>
              </w:rPr>
            </w:pPr>
            <w:proofErr w:type="spellStart"/>
            <w:r>
              <w:rPr>
                <w:rFonts w:ascii="Arial" w:eastAsia="Times New Roman" w:hAnsi="Arial" w:cs="Arial"/>
                <w:color w:val="000000"/>
                <w:sz w:val="20"/>
                <w:szCs w:val="20"/>
              </w:rPr>
              <w:t>Cleavol</w:t>
            </w:r>
            <w:proofErr w:type="spellEnd"/>
            <w:r>
              <w:rPr>
                <w:rFonts w:ascii="Arial" w:eastAsia="Times New Roman" w:hAnsi="Arial" w:cs="Arial"/>
                <w:color w:val="000000"/>
                <w:sz w:val="20"/>
                <w:szCs w:val="20"/>
              </w:rPr>
              <w:t xml:space="preserve"> </w:t>
            </w:r>
            <w:r w:rsidR="00584582">
              <w:rPr>
                <w:rFonts w:ascii="Arial" w:eastAsia="Times New Roman" w:hAnsi="Arial" w:cs="Arial"/>
                <w:color w:val="000000"/>
                <w:sz w:val="20"/>
                <w:szCs w:val="20"/>
              </w:rPr>
              <w:t>220</w:t>
            </w:r>
          </w:p>
        </w:tc>
        <w:tc>
          <w:tcPr>
            <w:tcW w:w="150" w:type="pct"/>
            <w:hideMark/>
          </w:tcPr>
          <w:p w:rsidR="00535D5D" w:rsidRDefault="009063E9">
            <w:pPr>
              <w:rPr>
                <w:rFonts w:eastAsia="Times New Roman"/>
              </w:rPr>
            </w:pPr>
            <w:r>
              <w:rPr>
                <w:rFonts w:eastAsia="Times New Roman"/>
              </w:rPr>
              <w:t>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5132"/>
        <w:gridCol w:w="5012"/>
        <w:gridCol w:w="356"/>
      </w:tblGrid>
      <w:tr w:rsidR="00535D5D">
        <w:trPr>
          <w:tblCellSpacing w:w="15" w:type="dxa"/>
        </w:trPr>
        <w:tc>
          <w:tcPr>
            <w:tcW w:w="245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535D5D" w:rsidRDefault="0002783F">
            <w:pPr>
              <w:rPr>
                <w:rFonts w:ascii="Arial" w:eastAsia="Times New Roman" w:hAnsi="Arial" w:cs="Arial"/>
                <w:color w:val="000000"/>
                <w:sz w:val="20"/>
                <w:szCs w:val="20"/>
              </w:rPr>
            </w:pPr>
            <w:r>
              <w:rPr>
                <w:rFonts w:ascii="Arial" w:eastAsia="Times New Roman" w:hAnsi="Arial" w:cs="Arial"/>
                <w:color w:val="000000"/>
                <w:sz w:val="20"/>
                <w:szCs w:val="20"/>
              </w:rPr>
              <w:t xml:space="preserve">Cutting Oil </w:t>
            </w:r>
          </w:p>
        </w:tc>
        <w:tc>
          <w:tcPr>
            <w:tcW w:w="150" w:type="pct"/>
            <w:hideMark/>
          </w:tcPr>
          <w:p w:rsidR="00535D5D" w:rsidRDefault="009063E9">
            <w:pPr>
              <w:rPr>
                <w:rFonts w:eastAsia="Times New Roman"/>
              </w:rPr>
            </w:pPr>
            <w:r>
              <w:rPr>
                <w:rFonts w:eastAsia="Times New Roman"/>
              </w:rPr>
              <w:t> </w:t>
            </w:r>
          </w:p>
        </w:tc>
      </w:tr>
      <w:tr w:rsidR="00535D5D">
        <w:trPr>
          <w:tblCellSpacing w:w="15" w:type="dxa"/>
        </w:trPr>
        <w:tc>
          <w:tcPr>
            <w:tcW w:w="245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35D5D" w:rsidRDefault="009063E9">
            <w:pPr>
              <w:rPr>
                <w:rFonts w:eastAsia="Times New Roman"/>
              </w:rPr>
            </w:pPr>
            <w:r>
              <w:rPr>
                <w:rFonts w:eastAsia="Times New Roman"/>
              </w:rPr>
              <w:t>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5304"/>
        <w:gridCol w:w="5196"/>
      </w:tblGrid>
      <w:tr w:rsidR="00535D5D" w:rsidTr="00AB0AE4">
        <w:trPr>
          <w:tblCellSpacing w:w="15" w:type="dxa"/>
        </w:trPr>
        <w:tc>
          <w:tcPr>
            <w:tcW w:w="2504"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Northeast Products Company</w:t>
            </w:r>
          </w:p>
        </w:tc>
      </w:tr>
      <w:tr w:rsidR="00535D5D" w:rsidTr="00AB0AE4">
        <w:trPr>
          <w:tblCellSpacing w:w="15" w:type="dxa"/>
        </w:trPr>
        <w:tc>
          <w:tcPr>
            <w:tcW w:w="2504" w:type="pct"/>
            <w:hideMark/>
          </w:tcPr>
          <w:p w:rsidR="00535D5D" w:rsidRDefault="009063E9">
            <w:pPr>
              <w:rPr>
                <w:rFonts w:eastAsia="Times New Roman"/>
              </w:rPr>
            </w:pPr>
            <w:r>
              <w:rPr>
                <w:rFonts w:eastAsia="Times New Roman"/>
              </w:rPr>
              <w:t> </w:t>
            </w:r>
          </w:p>
        </w:tc>
        <w:tc>
          <w:tcPr>
            <w:tcW w:w="2453"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52 Ferry Street</w:t>
            </w:r>
          </w:p>
        </w:tc>
      </w:tr>
      <w:tr w:rsidR="00535D5D" w:rsidTr="00AB0AE4">
        <w:trPr>
          <w:tblCellSpacing w:w="15" w:type="dxa"/>
        </w:trPr>
        <w:tc>
          <w:tcPr>
            <w:tcW w:w="2504" w:type="pct"/>
            <w:hideMark/>
          </w:tcPr>
          <w:p w:rsidR="00535D5D" w:rsidRDefault="009063E9">
            <w:pPr>
              <w:rPr>
                <w:rFonts w:eastAsia="Times New Roman"/>
              </w:rPr>
            </w:pPr>
            <w:r>
              <w:rPr>
                <w:rFonts w:eastAsia="Times New Roman"/>
              </w:rPr>
              <w:t> </w:t>
            </w:r>
          </w:p>
        </w:tc>
        <w:tc>
          <w:tcPr>
            <w:tcW w:w="2453"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Fall River, MA, 02722</w:t>
            </w:r>
          </w:p>
        </w:tc>
      </w:tr>
      <w:tr w:rsidR="00535D5D" w:rsidTr="00AB0AE4">
        <w:trPr>
          <w:tblCellSpacing w:w="15" w:type="dxa"/>
        </w:trPr>
        <w:tc>
          <w:tcPr>
            <w:tcW w:w="2504"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535D5D" w:rsidRDefault="00535D5D">
            <w:pPr>
              <w:rPr>
                <w:rFonts w:ascii="Arial" w:eastAsia="Times New Roman" w:hAnsi="Arial" w:cs="Arial"/>
                <w:color w:val="000000"/>
                <w:sz w:val="20"/>
                <w:szCs w:val="20"/>
              </w:rPr>
            </w:pPr>
          </w:p>
        </w:tc>
      </w:tr>
      <w:tr w:rsidR="00535D5D" w:rsidTr="00AB0AE4">
        <w:trPr>
          <w:tblCellSpacing w:w="15" w:type="dxa"/>
        </w:trPr>
        <w:tc>
          <w:tcPr>
            <w:tcW w:w="2504"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1-800-225-8150</w:t>
            </w:r>
          </w:p>
        </w:tc>
      </w:tr>
      <w:tr w:rsidR="00535D5D" w:rsidTr="00AB0AE4">
        <w:trPr>
          <w:tblCellSpacing w:w="15" w:type="dxa"/>
        </w:trPr>
        <w:tc>
          <w:tcPr>
            <w:tcW w:w="2504"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Northeast Products Company</w:t>
            </w:r>
          </w:p>
        </w:tc>
        <w:tc>
          <w:tcPr>
            <w:tcW w:w="2453"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1-800-225-8150</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495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647"/>
        <w:gridCol w:w="7853"/>
      </w:tblGrid>
      <w:tr w:rsidR="00535D5D">
        <w:trPr>
          <w:tblCellSpacing w:w="15" w:type="dxa"/>
        </w:trPr>
        <w:tc>
          <w:tcPr>
            <w:tcW w:w="1250" w:type="pct"/>
            <w:vAlign w:val="center"/>
            <w:hideMark/>
          </w:tcPr>
          <w:p w:rsidR="00535D5D" w:rsidRDefault="00535D5D">
            <w:pPr>
              <w:rPr>
                <w:rFonts w:ascii="Arial" w:eastAsia="Times New Roman" w:hAnsi="Arial" w:cs="Arial"/>
                <w:color w:val="000000"/>
                <w:sz w:val="20"/>
                <w:szCs w:val="20"/>
              </w:rPr>
            </w:pPr>
          </w:p>
        </w:tc>
        <w:tc>
          <w:tcPr>
            <w:tcW w:w="3750" w:type="pct"/>
            <w:vAlign w:val="center"/>
            <w:hideMark/>
          </w:tcPr>
          <w:p w:rsidR="00535D5D" w:rsidRDefault="00535D5D">
            <w:pPr>
              <w:rPr>
                <w:rFonts w:ascii="Arial" w:eastAsia="Times New Roman" w:hAnsi="Arial" w:cs="Arial"/>
                <w:color w:val="000000"/>
                <w:sz w:val="20"/>
                <w:szCs w:val="20"/>
              </w:rPr>
            </w:pP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535D5D" w:rsidRDefault="00535D5D">
      <w:pPr>
        <w:rPr>
          <w:rFonts w:eastAsia="Times New Roman"/>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495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535D5D">
        <w:trPr>
          <w:tblCellSpacing w:w="15" w:type="dxa"/>
        </w:trPr>
        <w:tc>
          <w:tcPr>
            <w:tcW w:w="49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535D5D">
        <w:trPr>
          <w:tblCellSpacing w:w="15" w:type="dxa"/>
        </w:trPr>
        <w:tc>
          <w:tcPr>
            <w:tcW w:w="4950"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tblPr>
            <w:tblGrid>
              <w:gridCol w:w="96"/>
            </w:tblGrid>
            <w:tr w:rsidR="00535D5D">
              <w:trPr>
                <w:tblCellSpacing w:w="15" w:type="dxa"/>
                <w:jc w:val="center"/>
              </w:trPr>
              <w:tc>
                <w:tcPr>
                  <w:tcW w:w="0" w:type="auto"/>
                  <w:vAlign w:val="center"/>
                  <w:hideMark/>
                </w:tcPr>
                <w:p w:rsidR="00535D5D" w:rsidRDefault="00535D5D">
                  <w:pPr>
                    <w:rPr>
                      <w:rFonts w:eastAsia="Times New Roman"/>
                    </w:rPr>
                  </w:pPr>
                </w:p>
              </w:tc>
            </w:tr>
          </w:tbl>
          <w:p w:rsidR="00535D5D" w:rsidRDefault="00535D5D">
            <w:pPr>
              <w:jc w:val="center"/>
              <w:rPr>
                <w:rFonts w:eastAsia="Times New Roman"/>
              </w:rPr>
            </w:pP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5000" w:type="pct"/>
            <w:hideMark/>
          </w:tcPr>
          <w:p w:rsidR="00535D5D" w:rsidRDefault="00535D5D">
            <w:pPr>
              <w:rPr>
                <w:rFonts w:ascii="Arial" w:eastAsia="Times New Roman" w:hAnsi="Arial" w:cs="Arial"/>
                <w:b/>
                <w:bCs/>
                <w:color w:val="000000"/>
                <w:sz w:val="28"/>
                <w:szCs w:val="28"/>
              </w:rPr>
            </w:pP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535D5D">
            <w:pPr>
              <w:rPr>
                <w:rFonts w:ascii="Arial" w:eastAsia="Times New Roman" w:hAnsi="Arial" w:cs="Arial"/>
                <w:color w:val="000000"/>
                <w:sz w:val="20"/>
                <w:szCs w:val="20"/>
              </w:rPr>
            </w:pPr>
          </w:p>
        </w:tc>
      </w:tr>
    </w:tbl>
    <w:p w:rsidR="00535D5D" w:rsidRDefault="00535D5D">
      <w:pPr>
        <w:rPr>
          <w:rFonts w:eastAsia="Times New Roman"/>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535D5D" w:rsidRDefault="00535D5D">
      <w:pPr>
        <w:rPr>
          <w:rFonts w:eastAsia="Times New Roman"/>
        </w:rPr>
      </w:pPr>
    </w:p>
    <w:p w:rsidR="007E060B" w:rsidRDefault="007E060B">
      <w:pPr>
        <w:rPr>
          <w:rFonts w:eastAsia="Times New Roman"/>
        </w:rPr>
      </w:pPr>
    </w:p>
    <w:p w:rsidR="00AB0AE4" w:rsidRDefault="00AB0AE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535D5D" w:rsidRDefault="00535D5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80"/>
        <w:gridCol w:w="1509"/>
        <w:gridCol w:w="2988"/>
        <w:gridCol w:w="1523"/>
      </w:tblGrid>
      <w:tr w:rsidR="00535D5D" w:rsidTr="0033747F">
        <w:trPr>
          <w:tblCellSpacing w:w="15" w:type="dxa"/>
        </w:trPr>
        <w:tc>
          <w:tcPr>
            <w:tcW w:w="2112" w:type="pct"/>
            <w:tcBorders>
              <w:top w:val="outset" w:sz="6" w:space="0" w:color="auto"/>
              <w:left w:val="outset" w:sz="6" w:space="0" w:color="auto"/>
              <w:bottom w:val="outset" w:sz="6" w:space="0" w:color="auto"/>
              <w:right w:val="outset" w:sz="6" w:space="0" w:color="auto"/>
            </w:tcBorders>
            <w:vAlign w:val="center"/>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704" w:type="pct"/>
            <w:tcBorders>
              <w:top w:val="outset" w:sz="6" w:space="0" w:color="auto"/>
              <w:left w:val="outset" w:sz="6" w:space="0" w:color="auto"/>
              <w:bottom w:val="outset" w:sz="6" w:space="0" w:color="auto"/>
              <w:right w:val="outset" w:sz="6" w:space="0" w:color="auto"/>
            </w:tcBorders>
            <w:vAlign w:val="center"/>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409" w:type="pct"/>
            <w:tcBorders>
              <w:top w:val="outset" w:sz="6" w:space="0" w:color="auto"/>
              <w:left w:val="outset" w:sz="6" w:space="0" w:color="auto"/>
              <w:bottom w:val="outset" w:sz="6" w:space="0" w:color="auto"/>
              <w:right w:val="outset" w:sz="6" w:space="0" w:color="auto"/>
            </w:tcBorders>
            <w:vAlign w:val="center"/>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704" w:type="pct"/>
            <w:tcBorders>
              <w:top w:val="outset" w:sz="6" w:space="0" w:color="auto"/>
              <w:left w:val="outset" w:sz="6" w:space="0" w:color="auto"/>
              <w:bottom w:val="outset" w:sz="6" w:space="0" w:color="auto"/>
              <w:right w:val="outset" w:sz="6" w:space="0" w:color="auto"/>
            </w:tcBorders>
            <w:vAlign w:val="center"/>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535D5D" w:rsidTr="0033747F">
        <w:trPr>
          <w:tblCellSpacing w:w="15" w:type="dxa"/>
        </w:trPr>
        <w:tc>
          <w:tcPr>
            <w:tcW w:w="2112" w:type="pct"/>
            <w:tcBorders>
              <w:top w:val="outset" w:sz="6" w:space="0" w:color="auto"/>
              <w:left w:val="outset" w:sz="6" w:space="0" w:color="auto"/>
              <w:bottom w:val="outset" w:sz="6" w:space="0" w:color="auto"/>
              <w:right w:val="outset" w:sz="6" w:space="0" w:color="auto"/>
            </w:tcBorders>
            <w:hideMark/>
          </w:tcPr>
          <w:p w:rsidR="00535D5D" w:rsidRDefault="002F742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Petroleum Oil </w:t>
            </w:r>
            <w:r>
              <w:rPr>
                <w:rFonts w:ascii="Arial" w:eastAsia="Times New Roman" w:hAnsi="Arial" w:cs="Arial"/>
                <w:b/>
                <w:bCs/>
                <w:color w:val="000000"/>
                <w:sz w:val="16"/>
                <w:szCs w:val="16"/>
              </w:rPr>
              <w:br/>
              <w:t>  CAS Number:     0064742-58-1</w:t>
            </w:r>
          </w:p>
        </w:tc>
        <w:tc>
          <w:tcPr>
            <w:tcW w:w="704" w:type="pct"/>
            <w:tcBorders>
              <w:top w:val="outset" w:sz="6" w:space="0" w:color="auto"/>
              <w:left w:val="outset" w:sz="6" w:space="0" w:color="auto"/>
              <w:bottom w:val="outset" w:sz="6" w:space="0" w:color="auto"/>
              <w:right w:val="outset" w:sz="6" w:space="0" w:color="auto"/>
            </w:tcBorders>
            <w:hideMark/>
          </w:tcPr>
          <w:p w:rsidR="00535D5D" w:rsidRDefault="0033747F">
            <w:pPr>
              <w:rPr>
                <w:rFonts w:ascii="Arial" w:eastAsia="Times New Roman" w:hAnsi="Arial" w:cs="Arial"/>
                <w:b/>
                <w:bCs/>
                <w:color w:val="000000"/>
                <w:sz w:val="16"/>
                <w:szCs w:val="16"/>
              </w:rPr>
            </w:pPr>
            <w:r>
              <w:rPr>
                <w:rFonts w:ascii="Arial" w:eastAsia="Times New Roman" w:hAnsi="Arial" w:cs="Arial"/>
                <w:b/>
                <w:bCs/>
                <w:color w:val="000000"/>
                <w:sz w:val="16"/>
                <w:szCs w:val="16"/>
              </w:rPr>
              <w:t>50-95</w:t>
            </w:r>
          </w:p>
        </w:tc>
        <w:tc>
          <w:tcPr>
            <w:tcW w:w="1409" w:type="pct"/>
            <w:tcBorders>
              <w:top w:val="outset" w:sz="6" w:space="0" w:color="auto"/>
              <w:left w:val="outset" w:sz="6" w:space="0" w:color="auto"/>
              <w:bottom w:val="outset" w:sz="6" w:space="0" w:color="auto"/>
              <w:right w:val="outset" w:sz="6" w:space="0" w:color="auto"/>
            </w:tcBorders>
            <w:hideMark/>
          </w:tcPr>
          <w:p w:rsidR="00535D5D" w:rsidRDefault="002F742D">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w:t>
            </w:r>
            <w:r w:rsidR="009063E9">
              <w:rPr>
                <w:rFonts w:ascii="Arial" w:eastAsia="Times New Roman" w:hAnsi="Arial" w:cs="Arial"/>
                <w:b/>
                <w:bCs/>
                <w:color w:val="000000"/>
                <w:sz w:val="16"/>
                <w:szCs w:val="16"/>
              </w:rPr>
              <w:t> </w:t>
            </w:r>
          </w:p>
        </w:tc>
        <w:tc>
          <w:tcPr>
            <w:tcW w:w="704"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535D5D" w:rsidTr="0033747F">
        <w:trPr>
          <w:tblCellSpacing w:w="15" w:type="dxa"/>
        </w:trPr>
        <w:tc>
          <w:tcPr>
            <w:tcW w:w="2112" w:type="pct"/>
            <w:tcBorders>
              <w:top w:val="outset" w:sz="6" w:space="0" w:color="auto"/>
              <w:left w:val="outset" w:sz="6" w:space="0" w:color="auto"/>
              <w:bottom w:val="outset" w:sz="6" w:space="0" w:color="auto"/>
              <w:right w:val="outset" w:sz="6" w:space="0" w:color="auto"/>
            </w:tcBorders>
            <w:hideMark/>
          </w:tcPr>
          <w:p w:rsidR="00535D5D" w:rsidRDefault="007E060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Paraffin Oils, catalytic </w:t>
            </w:r>
            <w:proofErr w:type="spellStart"/>
            <w:r>
              <w:rPr>
                <w:rFonts w:ascii="Arial" w:eastAsia="Times New Roman" w:hAnsi="Arial" w:cs="Arial"/>
                <w:b/>
                <w:bCs/>
                <w:color w:val="000000"/>
                <w:sz w:val="16"/>
                <w:szCs w:val="16"/>
              </w:rPr>
              <w:t>dewaxed</w:t>
            </w:r>
            <w:proofErr w:type="spellEnd"/>
            <w:r>
              <w:rPr>
                <w:rFonts w:ascii="Arial" w:eastAsia="Times New Roman" w:hAnsi="Arial" w:cs="Arial"/>
                <w:b/>
                <w:bCs/>
                <w:color w:val="000000"/>
                <w:sz w:val="16"/>
                <w:szCs w:val="16"/>
              </w:rPr>
              <w:t xml:space="preserve"> heavy </w:t>
            </w:r>
            <w:r>
              <w:rPr>
                <w:rFonts w:ascii="Arial" w:eastAsia="Times New Roman" w:hAnsi="Arial" w:cs="Arial"/>
                <w:b/>
                <w:bCs/>
                <w:color w:val="000000"/>
                <w:sz w:val="16"/>
                <w:szCs w:val="16"/>
              </w:rPr>
              <w:br/>
              <w:t>  CAS Number:     00064742-70-7</w:t>
            </w:r>
          </w:p>
        </w:tc>
        <w:tc>
          <w:tcPr>
            <w:tcW w:w="704"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1.0 - </w:t>
            </w:r>
            <w:r w:rsidR="009A7F3D">
              <w:rPr>
                <w:rFonts w:ascii="Arial" w:eastAsia="Times New Roman" w:hAnsi="Arial" w:cs="Arial"/>
                <w:b/>
                <w:bCs/>
                <w:color w:val="000000"/>
                <w:sz w:val="16"/>
                <w:szCs w:val="16"/>
              </w:rPr>
              <w:t>50</w:t>
            </w:r>
          </w:p>
        </w:tc>
        <w:tc>
          <w:tcPr>
            <w:tcW w:w="1409"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704"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535D5D">
            <w:pPr>
              <w:rPr>
                <w:rFonts w:ascii="Arial" w:eastAsia="Times New Roman" w:hAnsi="Arial" w:cs="Arial"/>
                <w:color w:val="000000"/>
                <w:sz w:val="20"/>
                <w:szCs w:val="20"/>
              </w:rPr>
            </w:pPr>
          </w:p>
        </w:tc>
      </w:tr>
      <w:tr w:rsidR="00535D5D">
        <w:trPr>
          <w:tblCellSpacing w:w="15" w:type="dxa"/>
        </w:trPr>
        <w:tc>
          <w:tcPr>
            <w:tcW w:w="0" w:type="auto"/>
            <w:vAlign w:val="center"/>
            <w:hideMark/>
          </w:tcPr>
          <w:p w:rsidR="00535D5D" w:rsidRDefault="00535D5D">
            <w:pPr>
              <w:rPr>
                <w:rFonts w:ascii="Arial" w:eastAsia="Times New Roman" w:hAnsi="Arial" w:cs="Arial"/>
                <w:color w:val="000000"/>
                <w:sz w:val="20"/>
                <w:szCs w:val="20"/>
              </w:rPr>
            </w:pP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495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335"/>
        <w:gridCol w:w="8165"/>
      </w:tblGrid>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Remove exposed person to fresh air if adverse effects are observed. If breathing is labored, administer oxygen. If breathing has stopped, apply artificial respiration. If irritation persists get medical attention.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Flush immediately with water for at least 15 minutes.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Wash with soap and water. Remove contaminated clothing. Get medical attention if irritation develops. Launder contaminated clothing before re-use and discard shoes and other leather articles saturated with the material.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4950" w:type="pct"/>
            <w:hideMark/>
          </w:tcPr>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32725F" w:rsidRDefault="0032725F">
            <w:pPr>
              <w:rPr>
                <w:rFonts w:ascii="Arial" w:eastAsia="Times New Roman" w:hAnsi="Arial" w:cs="Arial"/>
                <w:b/>
                <w:bCs/>
                <w:color w:val="000000"/>
                <w:sz w:val="20"/>
                <w:szCs w:val="20"/>
              </w:rPr>
            </w:pPr>
          </w:p>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275"/>
        <w:gridCol w:w="8225"/>
      </w:tblGrid>
      <w:tr w:rsidR="00535D5D" w:rsidTr="0032725F">
        <w:trPr>
          <w:tblCellSpacing w:w="15" w:type="dxa"/>
        </w:trPr>
        <w:tc>
          <w:tcPr>
            <w:tcW w:w="1071"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Overview</w:t>
            </w:r>
          </w:p>
        </w:tc>
        <w:tc>
          <w:tcPr>
            <w:tcW w:w="0" w:type="auto"/>
            <w:hideMark/>
          </w:tcPr>
          <w:p w:rsidR="0032725F" w:rsidRDefault="009063E9">
            <w:pPr>
              <w:rPr>
                <w:rFonts w:ascii="Arial" w:eastAsia="Times New Roman" w:hAnsi="Arial" w:cs="Arial"/>
                <w:color w:val="000000"/>
                <w:sz w:val="20"/>
                <w:szCs w:val="20"/>
              </w:rPr>
            </w:pPr>
            <w:r>
              <w:rPr>
                <w:rFonts w:ascii="Arial" w:eastAsia="Times New Roman" w:hAnsi="Arial" w:cs="Arial"/>
                <w:color w:val="000000"/>
                <w:sz w:val="20"/>
                <w:szCs w:val="20"/>
              </w:rPr>
              <w:t>Eyes: May cause eye irritation.</w:t>
            </w:r>
            <w:r>
              <w:rPr>
                <w:rFonts w:ascii="Arial" w:eastAsia="Times New Roman" w:hAnsi="Arial" w:cs="Arial"/>
                <w:color w:val="000000"/>
                <w:sz w:val="20"/>
                <w:szCs w:val="20"/>
              </w:rPr>
              <w:br/>
              <w:t>Skin Absorption: No acute effects expected.</w:t>
            </w:r>
            <w:r>
              <w:rPr>
                <w:rFonts w:ascii="Arial" w:eastAsia="Times New Roman" w:hAnsi="Arial" w:cs="Arial"/>
                <w:color w:val="000000"/>
                <w:sz w:val="20"/>
                <w:szCs w:val="20"/>
              </w:rPr>
              <w:br/>
              <w:t>Skin Contact: May cause skin irritation.</w:t>
            </w:r>
            <w:r>
              <w:rPr>
                <w:rFonts w:ascii="Arial" w:eastAsia="Times New Roman" w:hAnsi="Arial" w:cs="Arial"/>
                <w:color w:val="000000"/>
                <w:sz w:val="20"/>
                <w:szCs w:val="20"/>
              </w:rPr>
              <w:br/>
              <w:t>Inhalation: May Cause respiratory irritation.</w:t>
            </w:r>
            <w:r>
              <w:rPr>
                <w:rFonts w:ascii="Arial" w:eastAsia="Times New Roman" w:hAnsi="Arial" w:cs="Arial"/>
                <w:color w:val="000000"/>
                <w:sz w:val="20"/>
                <w:szCs w:val="20"/>
              </w:rPr>
              <w:br/>
              <w:t xml:space="preserve">Ingestion: LD 50 not established. Do not ingest. </w:t>
            </w:r>
          </w:p>
          <w:p w:rsidR="0032725F" w:rsidRDefault="009063E9">
            <w:pPr>
              <w:rPr>
                <w:rFonts w:ascii="Arial" w:eastAsia="Times New Roman" w:hAnsi="Arial" w:cs="Arial"/>
                <w:color w:val="000000"/>
                <w:sz w:val="20"/>
                <w:szCs w:val="20"/>
              </w:rPr>
            </w:pPr>
            <w:r>
              <w:rPr>
                <w:rFonts w:ascii="Arial" w:eastAsia="Times New Roman" w:hAnsi="Arial" w:cs="Arial"/>
                <w:color w:val="000000"/>
                <w:sz w:val="20"/>
                <w:szCs w:val="20"/>
              </w:rPr>
              <w:br/>
              <w:t xml:space="preserve">May cause skin irritation. Prolonged or repeated skin contact as from clothing wet with material may cause dermatitis. Symptoms may include redness, edema, drying, </w:t>
            </w:r>
            <w:proofErr w:type="spellStart"/>
            <w:r>
              <w:rPr>
                <w:rFonts w:ascii="Arial" w:eastAsia="Times New Roman" w:hAnsi="Arial" w:cs="Arial"/>
                <w:color w:val="000000"/>
                <w:sz w:val="20"/>
                <w:szCs w:val="20"/>
              </w:rPr>
              <w:t>defatting</w:t>
            </w:r>
            <w:proofErr w:type="spellEnd"/>
            <w:r>
              <w:rPr>
                <w:rFonts w:ascii="Arial" w:eastAsia="Times New Roman" w:hAnsi="Arial" w:cs="Arial"/>
                <w:color w:val="000000"/>
                <w:sz w:val="20"/>
                <w:szCs w:val="20"/>
              </w:rPr>
              <w:t>, and cracking of the skin.</w:t>
            </w:r>
          </w:p>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b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Pr>
                <w:rFonts w:ascii="Arial" w:eastAsia="Times New Roman" w:hAnsi="Arial" w:cs="Arial"/>
                <w:color w:val="000000"/>
                <w:sz w:val="20"/>
                <w:szCs w:val="20"/>
              </w:rPr>
              <w:br/>
            </w:r>
            <w:r>
              <w:rPr>
                <w:rFonts w:ascii="Arial" w:eastAsia="Times New Roman" w:hAnsi="Arial" w:cs="Arial"/>
                <w:color w:val="000000"/>
                <w:sz w:val="20"/>
                <w:szCs w:val="20"/>
              </w:rPr>
              <w:br/>
              <w:t xml:space="preserve">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 See section 2 for further details.   </w:t>
            </w:r>
          </w:p>
        </w:tc>
      </w:tr>
      <w:tr w:rsidR="00535D5D" w:rsidTr="0032725F">
        <w:trPr>
          <w:tblCellSpacing w:w="15" w:type="dxa"/>
        </w:trPr>
        <w:tc>
          <w:tcPr>
            <w:tcW w:w="1071" w:type="pct"/>
            <w:hideMark/>
          </w:tcPr>
          <w:p w:rsidR="00535D5D" w:rsidRDefault="00535D5D">
            <w:pPr>
              <w:rPr>
                <w:rFonts w:ascii="Arial" w:eastAsia="Times New Roman" w:hAnsi="Arial" w:cs="Arial"/>
                <w:b/>
                <w:bCs/>
                <w:color w:val="000000"/>
                <w:sz w:val="20"/>
                <w:szCs w:val="20"/>
              </w:rPr>
            </w:pPr>
          </w:p>
        </w:tc>
        <w:tc>
          <w:tcPr>
            <w:tcW w:w="0" w:type="auto"/>
            <w:hideMark/>
          </w:tcPr>
          <w:p w:rsidR="00535D5D" w:rsidRDefault="00535D5D">
            <w:pPr>
              <w:rPr>
                <w:rFonts w:eastAsia="Times New Roman"/>
                <w:sz w:val="20"/>
                <w:szCs w:val="20"/>
              </w:rPr>
            </w:pPr>
          </w:p>
        </w:tc>
      </w:tr>
      <w:tr w:rsidR="00535D5D" w:rsidTr="0032725F">
        <w:trPr>
          <w:tblCellSpacing w:w="15" w:type="dxa"/>
        </w:trPr>
        <w:tc>
          <w:tcPr>
            <w:tcW w:w="1071"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Chronic effects</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Note to physician. Treat symptomatically   </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CO2, dry chemical, or foam.</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Hazardous decomposition: Smoke, Carbon monoxide and other products of incomplete combustion.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Recommend wearing self contained breathing apparatus.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335"/>
        <w:gridCol w:w="8165"/>
      </w:tblGrid>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32725F"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6.1. Personal precautions, protective equipment and emergency procedures</w:t>
            </w:r>
            <w:r w:rsidR="0032725F">
              <w:rPr>
                <w:rFonts w:ascii="Arial" w:eastAsia="Times New Roman" w:hAnsi="Arial" w:cs="Arial"/>
                <w:color w:val="000000"/>
                <w:sz w:val="20"/>
                <w:szCs w:val="20"/>
              </w:rPr>
              <w:t xml:space="preserve"> </w:t>
            </w:r>
          </w:p>
          <w:p w:rsidR="00535D5D" w:rsidRDefault="0032725F">
            <w:pPr>
              <w:rPr>
                <w:rFonts w:ascii="Arial" w:eastAsia="Times New Roman" w:hAnsi="Arial" w:cs="Arial"/>
                <w:b/>
                <w:bCs/>
                <w:color w:val="000000"/>
                <w:sz w:val="20"/>
                <w:szCs w:val="20"/>
              </w:rPr>
            </w:pPr>
            <w:r>
              <w:rPr>
                <w:rFonts w:ascii="Arial" w:eastAsia="Times New Roman" w:hAnsi="Arial" w:cs="Arial"/>
                <w:color w:val="000000"/>
                <w:sz w:val="20"/>
                <w:szCs w:val="20"/>
              </w:rPr>
              <w:t>Put on appropriate personal protective equipment (see section 8).</w:t>
            </w:r>
          </w:p>
        </w:tc>
      </w:tr>
    </w:tbl>
    <w:p w:rsidR="00535D5D" w:rsidRDefault="00535D5D">
      <w:pPr>
        <w:rPr>
          <w:rFonts w:eastAsia="Times New Roman"/>
          <w:vanish/>
        </w:rPr>
      </w:pPr>
    </w:p>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32725F" w:rsidRDefault="009063E9" w:rsidP="0032725F">
            <w:pPr>
              <w:rPr>
                <w:rFonts w:ascii="Arial" w:eastAsia="Times New Roman" w:hAnsi="Arial" w:cs="Arial"/>
                <w:color w:val="000000"/>
                <w:sz w:val="20"/>
                <w:szCs w:val="20"/>
              </w:rPr>
            </w:pPr>
            <w:r>
              <w:rPr>
                <w:rFonts w:ascii="Arial" w:eastAsia="Times New Roman" w:hAnsi="Arial" w:cs="Arial"/>
                <w:b/>
                <w:bCs/>
                <w:color w:val="000000"/>
                <w:sz w:val="20"/>
                <w:szCs w:val="20"/>
              </w:rPr>
              <w:t>6.2. Environmental precautions</w:t>
            </w:r>
            <w:r w:rsidR="0032725F">
              <w:rPr>
                <w:rFonts w:ascii="Arial" w:eastAsia="Times New Roman" w:hAnsi="Arial" w:cs="Arial"/>
                <w:color w:val="000000"/>
                <w:sz w:val="20"/>
                <w:szCs w:val="20"/>
              </w:rPr>
              <w:t xml:space="preserve"> </w:t>
            </w:r>
          </w:p>
          <w:p w:rsidR="0032725F" w:rsidRDefault="0032725F" w:rsidP="0032725F">
            <w:pPr>
              <w:rPr>
                <w:rFonts w:ascii="Arial" w:eastAsia="Times New Roman" w:hAnsi="Arial" w:cs="Arial"/>
                <w:color w:val="000000"/>
                <w:sz w:val="20"/>
                <w:szCs w:val="20"/>
              </w:rPr>
            </w:pPr>
            <w:r>
              <w:rPr>
                <w:rFonts w:ascii="Arial" w:eastAsia="Times New Roman" w:hAnsi="Arial" w:cs="Arial"/>
                <w:color w:val="000000"/>
                <w:sz w:val="20"/>
                <w:szCs w:val="20"/>
              </w:rPr>
              <w:t xml:space="preserve">Do not allow spills to enter drains or waterways. </w:t>
            </w:r>
          </w:p>
          <w:p w:rsidR="00535D5D" w:rsidRDefault="0032725F" w:rsidP="0032725F">
            <w:pPr>
              <w:rPr>
                <w:rFonts w:ascii="Arial" w:eastAsia="Times New Roman" w:hAnsi="Arial" w:cs="Arial"/>
                <w:b/>
                <w:bCs/>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535D5D" w:rsidRDefault="00535D5D">
      <w:pPr>
        <w:rPr>
          <w:rFonts w:eastAsia="Times New Roman"/>
          <w:vanish/>
        </w:rPr>
      </w:pPr>
    </w:p>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32725F"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6.3. Methods and material for containment and cleaning up</w:t>
            </w:r>
            <w:r w:rsidR="0032725F">
              <w:rPr>
                <w:rFonts w:ascii="Arial" w:eastAsia="Times New Roman" w:hAnsi="Arial" w:cs="Arial"/>
                <w:color w:val="000000"/>
                <w:sz w:val="20"/>
                <w:szCs w:val="20"/>
              </w:rPr>
              <w:t xml:space="preserve"> </w:t>
            </w:r>
          </w:p>
          <w:p w:rsidR="00535D5D" w:rsidRDefault="0032725F">
            <w:pPr>
              <w:rPr>
                <w:rFonts w:ascii="Arial" w:eastAsia="Times New Roman" w:hAnsi="Arial" w:cs="Arial"/>
                <w:b/>
                <w:bCs/>
                <w:color w:val="000000"/>
                <w:sz w:val="20"/>
                <w:szCs w:val="20"/>
              </w:rPr>
            </w:pPr>
            <w:r>
              <w:rPr>
                <w:rFonts w:ascii="Arial" w:eastAsia="Times New Roman" w:hAnsi="Arial" w:cs="Arial"/>
                <w:color w:val="000000"/>
                <w:sz w:val="20"/>
                <w:szCs w:val="20"/>
              </w:rPr>
              <w:t>Prevent entry into sewers and waterways. Pickup free liquid for recycling/disposal. Absorb small amounts on inert material for disposal.</w:t>
            </w:r>
          </w:p>
        </w:tc>
      </w:tr>
    </w:tbl>
    <w:p w:rsidR="00535D5D" w:rsidRDefault="00535D5D">
      <w:pPr>
        <w:rPr>
          <w:rFonts w:eastAsia="Times New Roman"/>
          <w:vanish/>
        </w:rPr>
      </w:pPr>
    </w:p>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lastRenderedPageBreak/>
              <w:t>7. Handling and storage</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535D5D">
        <w:trPr>
          <w:tblCellSpacing w:w="15" w:type="dxa"/>
        </w:trPr>
        <w:tc>
          <w:tcPr>
            <w:tcW w:w="0" w:type="auto"/>
            <w:vAlign w:val="center"/>
            <w:hideMark/>
          </w:tcPr>
          <w:p w:rsidR="00535D5D" w:rsidRDefault="00AB0AE4">
            <w:pPr>
              <w:rPr>
                <w:rFonts w:ascii="Arial" w:eastAsia="Times New Roman" w:hAnsi="Arial" w:cs="Arial"/>
                <w:color w:val="000000"/>
                <w:sz w:val="20"/>
                <w:szCs w:val="20"/>
              </w:rPr>
            </w:pPr>
            <w:r>
              <w:rPr>
                <w:rFonts w:ascii="Arial" w:eastAsia="Times New Roman" w:hAnsi="Arial" w:cs="Arial"/>
                <w:color w:val="000000"/>
                <w:sz w:val="20"/>
                <w:szCs w:val="20"/>
              </w:rPr>
              <w:t>None noted</w:t>
            </w:r>
            <w:r w:rsidR="009063E9">
              <w:rPr>
                <w:rFonts w:ascii="Arial" w:eastAsia="Times New Roman" w:hAnsi="Arial" w:cs="Arial"/>
                <w:color w:val="000000"/>
                <w:sz w:val="20"/>
                <w:szCs w:val="20"/>
              </w:rPr>
              <w:t xml:space="preserv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Store inside building, away from potential sources of ignition.</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 and acids.</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Keep away from potential sources of ignition. Keep containers closed when not in use. Avoid breathing vapors. Containers retain material residue. Do not cut, weld, braze, solder, drill, grind or expose containers to heat, flame, spark, or other sources of ignition. </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535D5D">
            <w:pPr>
              <w:rPr>
                <w:rFonts w:ascii="Arial" w:eastAsia="Times New Roman" w:hAnsi="Arial" w:cs="Arial"/>
                <w:color w:val="000000"/>
                <w:sz w:val="20"/>
                <w:szCs w:val="20"/>
              </w:rPr>
            </w:pP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535D5D" w:rsidRDefault="00535D5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87"/>
        <w:gridCol w:w="3135"/>
        <w:gridCol w:w="1065"/>
        <w:gridCol w:w="5013"/>
      </w:tblGrid>
      <w:tr w:rsidR="00535D5D" w:rsidTr="0033747F">
        <w:trPr>
          <w:tblCellSpacing w:w="15" w:type="dxa"/>
        </w:trPr>
        <w:tc>
          <w:tcPr>
            <w:tcW w:w="591"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479"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493"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366"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649E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649EF" w:rsidRDefault="00B649EF" w:rsidP="00523E7F">
            <w:pPr>
              <w:rPr>
                <w:rFonts w:ascii="Arial" w:eastAsia="Times New Roman" w:hAnsi="Arial" w:cs="Arial"/>
                <w:color w:val="000000"/>
                <w:sz w:val="16"/>
                <w:szCs w:val="16"/>
              </w:rPr>
            </w:pPr>
            <w:r>
              <w:rPr>
                <w:rFonts w:ascii="Arial" w:eastAsia="Times New Roman" w:hAnsi="Arial" w:cs="Arial"/>
                <w:color w:val="000000"/>
                <w:sz w:val="16"/>
                <w:szCs w:val="16"/>
              </w:rPr>
              <w:t>0064742-70-7</w:t>
            </w:r>
          </w:p>
        </w:tc>
        <w:tc>
          <w:tcPr>
            <w:tcW w:w="0" w:type="auto"/>
            <w:vMerge w:val="restart"/>
            <w:tcBorders>
              <w:top w:val="outset" w:sz="6" w:space="0" w:color="auto"/>
              <w:left w:val="outset" w:sz="6" w:space="0" w:color="auto"/>
              <w:bottom w:val="outset" w:sz="6" w:space="0" w:color="auto"/>
              <w:right w:val="outset" w:sz="6" w:space="0" w:color="auto"/>
            </w:tcBorders>
            <w:hideMark/>
          </w:tcPr>
          <w:p w:rsidR="00B649EF" w:rsidRDefault="00B649EF" w:rsidP="00523E7F">
            <w:pPr>
              <w:rPr>
                <w:rFonts w:ascii="Arial" w:eastAsia="Times New Roman" w:hAnsi="Arial" w:cs="Arial"/>
                <w:color w:val="000000"/>
                <w:sz w:val="16"/>
                <w:szCs w:val="16"/>
              </w:rPr>
            </w:pPr>
            <w:r>
              <w:rPr>
                <w:rFonts w:ascii="Arial" w:eastAsia="Times New Roman" w:hAnsi="Arial" w:cs="Arial"/>
                <w:color w:val="000000"/>
                <w:sz w:val="16"/>
                <w:szCs w:val="16"/>
              </w:rPr>
              <w:t xml:space="preserve">Paraffin Oil, catalytic </w:t>
            </w:r>
            <w:proofErr w:type="spellStart"/>
            <w:r>
              <w:rPr>
                <w:rFonts w:ascii="Arial" w:eastAsia="Times New Roman" w:hAnsi="Arial" w:cs="Arial"/>
                <w:color w:val="000000"/>
                <w:sz w:val="16"/>
                <w:szCs w:val="16"/>
              </w:rPr>
              <w:t>dewaxed</w:t>
            </w:r>
            <w:proofErr w:type="spellEnd"/>
            <w:r>
              <w:rPr>
                <w:rFonts w:ascii="Arial" w:eastAsia="Times New Roman" w:hAnsi="Arial" w:cs="Arial"/>
                <w:color w:val="000000"/>
                <w:sz w:val="16"/>
                <w:szCs w:val="16"/>
              </w:rPr>
              <w:t xml:space="preserve"> heavy</w:t>
            </w:r>
          </w:p>
        </w:tc>
        <w:tc>
          <w:tcPr>
            <w:tcW w:w="0" w:type="auto"/>
            <w:tcBorders>
              <w:top w:val="outset" w:sz="6" w:space="0" w:color="auto"/>
              <w:left w:val="outset" w:sz="6" w:space="0" w:color="auto"/>
              <w:bottom w:val="outset" w:sz="6" w:space="0" w:color="auto"/>
              <w:right w:val="outset" w:sz="6" w:space="0" w:color="auto"/>
            </w:tcBorders>
            <w:hideMark/>
          </w:tcPr>
          <w:p w:rsidR="00B649EF" w:rsidRDefault="00B649EF">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649EF" w:rsidRDefault="00B649EF">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35D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35D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35D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35D5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0063449-39-8</w:t>
            </w:r>
          </w:p>
        </w:tc>
        <w:tc>
          <w:tcPr>
            <w:tcW w:w="0" w:type="auto"/>
            <w:vMerge w:val="restar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Chlorinated paraffin c22-30</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35D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35D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35D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3747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3747F" w:rsidRDefault="0033747F" w:rsidP="003034AF">
            <w:pPr>
              <w:rPr>
                <w:rFonts w:ascii="Arial" w:eastAsia="Times New Roman" w:hAnsi="Arial" w:cs="Arial"/>
                <w:color w:val="000000"/>
                <w:sz w:val="16"/>
                <w:szCs w:val="16"/>
              </w:rPr>
            </w:pPr>
            <w:r>
              <w:rPr>
                <w:rFonts w:ascii="Arial" w:eastAsia="Times New Roman" w:hAnsi="Arial" w:cs="Arial"/>
                <w:color w:val="000000"/>
                <w:sz w:val="16"/>
                <w:szCs w:val="16"/>
              </w:rPr>
              <w:t>0064742-58-1</w:t>
            </w:r>
          </w:p>
        </w:tc>
        <w:tc>
          <w:tcPr>
            <w:tcW w:w="0" w:type="auto"/>
            <w:vMerge w:val="restart"/>
            <w:tcBorders>
              <w:top w:val="outset" w:sz="6" w:space="0" w:color="auto"/>
              <w:left w:val="outset" w:sz="6" w:space="0" w:color="auto"/>
              <w:bottom w:val="outset" w:sz="6" w:space="0" w:color="auto"/>
              <w:right w:val="outset" w:sz="6" w:space="0" w:color="auto"/>
            </w:tcBorders>
            <w:hideMark/>
          </w:tcPr>
          <w:p w:rsidR="0033747F" w:rsidRDefault="0033747F" w:rsidP="003034AF">
            <w:pPr>
              <w:rPr>
                <w:rFonts w:ascii="Arial" w:eastAsia="Times New Roman" w:hAnsi="Arial" w:cs="Arial"/>
                <w:color w:val="000000"/>
                <w:sz w:val="16"/>
                <w:szCs w:val="16"/>
              </w:rPr>
            </w:pPr>
            <w:r>
              <w:rPr>
                <w:rFonts w:ascii="Arial" w:eastAsia="Times New Roman" w:hAnsi="Arial" w:cs="Arial"/>
                <w:color w:val="000000"/>
                <w:sz w:val="16"/>
                <w:szCs w:val="16"/>
              </w:rPr>
              <w:t>Petroleum Oil</w:t>
            </w: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rsidP="003034AF">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rsidP="003034AF">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374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747F" w:rsidRDefault="0033747F">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47F" w:rsidRDefault="0033747F">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374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747F" w:rsidRDefault="0033747F">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47F" w:rsidRDefault="0033747F">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3747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747F" w:rsidRDefault="0033747F">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47F" w:rsidRDefault="0033747F">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535D5D" w:rsidRDefault="00535D5D">
      <w:pPr>
        <w:rPr>
          <w:rFonts w:eastAsia="Times New Roman"/>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Contains mineral oil. The exposure limits for oil mist are 5 mg/m3 OSHA PEL and 10 mg/m3 ACGIH. </w:t>
            </w:r>
          </w:p>
          <w:p w:rsidR="0032725F" w:rsidRDefault="0032725F">
            <w:pPr>
              <w:rPr>
                <w:rFonts w:ascii="Arial" w:eastAsia="Times New Roman" w:hAnsi="Arial" w:cs="Arial"/>
                <w:color w:val="000000"/>
                <w:sz w:val="20"/>
                <w:szCs w:val="20"/>
              </w:rPr>
            </w:pPr>
          </w:p>
          <w:p w:rsidR="0032725F" w:rsidRDefault="0032725F">
            <w:pPr>
              <w:rPr>
                <w:rFonts w:ascii="Arial" w:eastAsia="Times New Roman" w:hAnsi="Arial" w:cs="Arial"/>
                <w:color w:val="000000"/>
                <w:sz w:val="20"/>
                <w:szCs w:val="20"/>
              </w:rPr>
            </w:pPr>
          </w:p>
          <w:p w:rsidR="0032725F" w:rsidRDefault="0032725F">
            <w:pPr>
              <w:rPr>
                <w:rFonts w:ascii="Arial" w:eastAsia="Times New Roman" w:hAnsi="Arial" w:cs="Arial"/>
                <w:color w:val="000000"/>
                <w:sz w:val="20"/>
                <w:szCs w:val="20"/>
              </w:rPr>
            </w:pPr>
          </w:p>
        </w:tc>
      </w:tr>
      <w:tr w:rsidR="00535D5D">
        <w:trPr>
          <w:tblCellSpacing w:w="15" w:type="dxa"/>
        </w:trPr>
        <w:tc>
          <w:tcPr>
            <w:tcW w:w="0" w:type="auto"/>
            <w:vAlign w:val="center"/>
            <w:hideMark/>
          </w:tcPr>
          <w:p w:rsidR="00535D5D" w:rsidRDefault="00535D5D">
            <w:pPr>
              <w:rPr>
                <w:rFonts w:ascii="Arial" w:eastAsia="Times New Roman" w:hAnsi="Arial" w:cs="Arial"/>
                <w:color w:val="000000"/>
                <w:sz w:val="20"/>
                <w:szCs w:val="20"/>
              </w:rPr>
            </w:pP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971DA7" w:rsidRDefault="00971DA7">
            <w:pPr>
              <w:rPr>
                <w:rFonts w:ascii="Arial" w:eastAsia="Times New Roman" w:hAnsi="Arial" w:cs="Arial"/>
                <w:b/>
                <w:bCs/>
                <w:color w:val="000000"/>
                <w:sz w:val="20"/>
                <w:szCs w:val="20"/>
              </w:rPr>
            </w:pPr>
          </w:p>
          <w:p w:rsidR="00971DA7" w:rsidRDefault="00971DA7">
            <w:pPr>
              <w:rPr>
                <w:rFonts w:ascii="Arial" w:eastAsia="Times New Roman" w:hAnsi="Arial" w:cs="Arial"/>
                <w:b/>
                <w:bCs/>
                <w:color w:val="000000"/>
                <w:sz w:val="20"/>
                <w:szCs w:val="20"/>
              </w:rPr>
            </w:pPr>
          </w:p>
          <w:p w:rsidR="00971DA7" w:rsidRDefault="00971DA7">
            <w:pPr>
              <w:rPr>
                <w:rFonts w:ascii="Arial" w:eastAsia="Times New Roman" w:hAnsi="Arial" w:cs="Arial"/>
                <w:b/>
                <w:bCs/>
                <w:color w:val="000000"/>
                <w:sz w:val="20"/>
                <w:szCs w:val="20"/>
              </w:rPr>
            </w:pPr>
          </w:p>
          <w:p w:rsidR="00971DA7" w:rsidRDefault="00971DA7">
            <w:pPr>
              <w:rPr>
                <w:rFonts w:ascii="Arial" w:eastAsia="Times New Roman" w:hAnsi="Arial" w:cs="Arial"/>
                <w:b/>
                <w:bCs/>
                <w:color w:val="000000"/>
                <w:sz w:val="20"/>
                <w:szCs w:val="20"/>
              </w:rPr>
            </w:pPr>
          </w:p>
          <w:p w:rsidR="00971DA7"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Carcinogen Data </w:t>
            </w:r>
          </w:p>
        </w:tc>
      </w:tr>
    </w:tbl>
    <w:p w:rsidR="00535D5D" w:rsidRDefault="00535D5D">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
        <w:gridCol w:w="1326"/>
        <w:gridCol w:w="1063"/>
        <w:gridCol w:w="1603"/>
        <w:gridCol w:w="633"/>
        <w:gridCol w:w="5793"/>
        <w:gridCol w:w="45"/>
      </w:tblGrid>
      <w:tr w:rsidR="00535D5D" w:rsidTr="00971DA7">
        <w:trPr>
          <w:gridAfter w:val="1"/>
          <w:tblCellSpacing w:w="15" w:type="dxa"/>
        </w:trPr>
        <w:tc>
          <w:tcPr>
            <w:tcW w:w="623" w:type="pct"/>
            <w:gridSpan w:val="2"/>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47" w:type="pct"/>
            <w:gridSpan w:val="2"/>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288"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757"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B649EF" w:rsidTr="0033747F">
        <w:trPr>
          <w:gridAfter w:val="1"/>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649EF" w:rsidRDefault="00B649EF" w:rsidP="00523E7F">
            <w:pPr>
              <w:rPr>
                <w:rFonts w:ascii="Arial" w:eastAsia="Times New Roman" w:hAnsi="Arial" w:cs="Arial"/>
                <w:color w:val="000000"/>
                <w:sz w:val="16"/>
                <w:szCs w:val="16"/>
              </w:rPr>
            </w:pPr>
            <w:r>
              <w:rPr>
                <w:rFonts w:ascii="Arial" w:eastAsia="Times New Roman" w:hAnsi="Arial" w:cs="Arial"/>
                <w:color w:val="000000"/>
                <w:sz w:val="16"/>
                <w:szCs w:val="16"/>
              </w:rPr>
              <w:t>0064742-70-7</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649EF" w:rsidRDefault="00B649EF" w:rsidP="00523E7F">
            <w:pPr>
              <w:rPr>
                <w:rFonts w:ascii="Arial" w:eastAsia="Times New Roman" w:hAnsi="Arial" w:cs="Arial"/>
                <w:color w:val="000000"/>
                <w:sz w:val="16"/>
                <w:szCs w:val="16"/>
              </w:rPr>
            </w:pPr>
            <w:r>
              <w:rPr>
                <w:rFonts w:ascii="Arial" w:eastAsia="Times New Roman" w:hAnsi="Arial" w:cs="Arial"/>
                <w:color w:val="000000"/>
                <w:sz w:val="16"/>
                <w:szCs w:val="16"/>
              </w:rPr>
              <w:t xml:space="preserve">Paraffin Oil, catalytic </w:t>
            </w:r>
            <w:proofErr w:type="spellStart"/>
            <w:r>
              <w:rPr>
                <w:rFonts w:ascii="Arial" w:eastAsia="Times New Roman" w:hAnsi="Arial" w:cs="Arial"/>
                <w:color w:val="000000"/>
                <w:sz w:val="16"/>
                <w:szCs w:val="16"/>
              </w:rPr>
              <w:t>dewaxed</w:t>
            </w:r>
            <w:proofErr w:type="spellEnd"/>
            <w:r>
              <w:rPr>
                <w:rFonts w:ascii="Arial" w:eastAsia="Times New Roman" w:hAnsi="Arial" w:cs="Arial"/>
                <w:color w:val="000000"/>
                <w:sz w:val="16"/>
                <w:szCs w:val="16"/>
              </w:rPr>
              <w:t xml:space="preserve"> heavy</w:t>
            </w:r>
          </w:p>
        </w:tc>
        <w:tc>
          <w:tcPr>
            <w:tcW w:w="0" w:type="auto"/>
            <w:tcBorders>
              <w:top w:val="outset" w:sz="6" w:space="0" w:color="auto"/>
              <w:left w:val="outset" w:sz="6" w:space="0" w:color="auto"/>
              <w:bottom w:val="outset" w:sz="6" w:space="0" w:color="auto"/>
              <w:right w:val="outset" w:sz="6" w:space="0" w:color="auto"/>
            </w:tcBorders>
            <w:hideMark/>
          </w:tcPr>
          <w:p w:rsidR="00B649EF" w:rsidRDefault="00B649EF">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B649EF" w:rsidRDefault="00B649EF">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35D5D" w:rsidTr="0033747F">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35D5D" w:rsidTr="0033747F">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33747F" w:rsidTr="0033747F">
        <w:trPr>
          <w:gridAfter w:val="1"/>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3747F" w:rsidRDefault="0033747F" w:rsidP="003034AF">
            <w:pPr>
              <w:rPr>
                <w:rFonts w:ascii="Arial" w:eastAsia="Times New Roman" w:hAnsi="Arial" w:cs="Arial"/>
                <w:color w:val="000000"/>
                <w:sz w:val="16"/>
                <w:szCs w:val="16"/>
              </w:rPr>
            </w:pPr>
            <w:r>
              <w:rPr>
                <w:rFonts w:ascii="Arial" w:eastAsia="Times New Roman" w:hAnsi="Arial" w:cs="Arial"/>
                <w:color w:val="000000"/>
                <w:sz w:val="16"/>
                <w:szCs w:val="16"/>
              </w:rPr>
              <w:t>0064742-58-1</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3747F" w:rsidRDefault="0033747F" w:rsidP="003034AF">
            <w:pPr>
              <w:rPr>
                <w:rFonts w:ascii="Arial" w:eastAsia="Times New Roman" w:hAnsi="Arial" w:cs="Arial"/>
                <w:color w:val="000000"/>
                <w:sz w:val="16"/>
                <w:szCs w:val="16"/>
              </w:rPr>
            </w:pPr>
            <w:r>
              <w:rPr>
                <w:rFonts w:ascii="Arial" w:eastAsia="Times New Roman" w:hAnsi="Arial" w:cs="Arial"/>
                <w:color w:val="000000"/>
                <w:sz w:val="16"/>
                <w:szCs w:val="16"/>
              </w:rPr>
              <w:t>Petroleum Oil</w:t>
            </w: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3747F" w:rsidRDefault="0033747F">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35D5D" w:rsidTr="0033747F">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35D5D" w:rsidTr="0033747F">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5D5D" w:rsidRDefault="00535D5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535D5D" w:rsidTr="00971DA7">
        <w:tblPrEx>
          <w:tblBorders>
            <w:top w:val="none" w:sz="0" w:space="0" w:color="auto"/>
            <w:left w:val="none" w:sz="0" w:space="0" w:color="auto"/>
            <w:bottom w:val="none" w:sz="0" w:space="0" w:color="auto"/>
            <w:right w:val="none" w:sz="0" w:space="0" w:color="auto"/>
          </w:tblBorders>
        </w:tblPrEx>
        <w:trPr>
          <w:gridBefore w:val="1"/>
          <w:wBefore w:w="3" w:type="pct"/>
          <w:tblCellSpacing w:w="15" w:type="dxa"/>
        </w:trPr>
        <w:tc>
          <w:tcPr>
            <w:tcW w:w="1114" w:type="pct"/>
            <w:gridSpan w:val="2"/>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gridSpan w:val="4"/>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535D5D" w:rsidTr="00971DA7">
        <w:tblPrEx>
          <w:tblBorders>
            <w:top w:val="none" w:sz="0" w:space="0" w:color="auto"/>
            <w:left w:val="none" w:sz="0" w:space="0" w:color="auto"/>
            <w:bottom w:val="none" w:sz="0" w:space="0" w:color="auto"/>
            <w:right w:val="none" w:sz="0" w:space="0" w:color="auto"/>
          </w:tblBorders>
        </w:tblPrEx>
        <w:trPr>
          <w:gridBefore w:val="1"/>
          <w:wBefore w:w="3" w:type="pct"/>
          <w:tblCellSpacing w:w="15" w:type="dxa"/>
        </w:trPr>
        <w:tc>
          <w:tcPr>
            <w:tcW w:w="1114" w:type="pct"/>
            <w:gridSpan w:val="2"/>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gridSpan w:val="4"/>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Use NIOSH/MSHA approved full face respirator with an organic vapor cartridge if the recommended exposure limit is exceeded. Use self contained breathing apparatus for entry into confined space, or for other poorly ventilated areas.   </w:t>
            </w:r>
          </w:p>
        </w:tc>
      </w:tr>
      <w:tr w:rsidR="00535D5D" w:rsidTr="00971DA7">
        <w:tblPrEx>
          <w:tblBorders>
            <w:top w:val="none" w:sz="0" w:space="0" w:color="auto"/>
            <w:left w:val="none" w:sz="0" w:space="0" w:color="auto"/>
            <w:bottom w:val="none" w:sz="0" w:space="0" w:color="auto"/>
            <w:right w:val="none" w:sz="0" w:space="0" w:color="auto"/>
          </w:tblBorders>
        </w:tblPrEx>
        <w:trPr>
          <w:gridBefore w:val="1"/>
          <w:wBefore w:w="3" w:type="pct"/>
          <w:tblCellSpacing w:w="15" w:type="dxa"/>
        </w:trPr>
        <w:tc>
          <w:tcPr>
            <w:tcW w:w="1114" w:type="pct"/>
            <w:gridSpan w:val="2"/>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gridSpan w:val="4"/>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w:t>
            </w:r>
            <w:proofErr w:type="spellStart"/>
            <w:r>
              <w:rPr>
                <w:rFonts w:ascii="Arial" w:eastAsia="Times New Roman" w:hAnsi="Arial" w:cs="Arial"/>
                <w:color w:val="000000"/>
                <w:sz w:val="20"/>
                <w:szCs w:val="20"/>
              </w:rPr>
              <w:t>faceshield</w:t>
            </w:r>
            <w:proofErr w:type="spellEnd"/>
            <w:r>
              <w:rPr>
                <w:rFonts w:ascii="Arial" w:eastAsia="Times New Roman" w:hAnsi="Arial" w:cs="Arial"/>
                <w:color w:val="000000"/>
                <w:sz w:val="20"/>
                <w:szCs w:val="20"/>
              </w:rPr>
              <w:t xml:space="preserve">.   </w:t>
            </w:r>
          </w:p>
        </w:tc>
      </w:tr>
      <w:tr w:rsidR="00535D5D" w:rsidTr="00971DA7">
        <w:tblPrEx>
          <w:tblBorders>
            <w:top w:val="none" w:sz="0" w:space="0" w:color="auto"/>
            <w:left w:val="none" w:sz="0" w:space="0" w:color="auto"/>
            <w:bottom w:val="none" w:sz="0" w:space="0" w:color="auto"/>
            <w:right w:val="none" w:sz="0" w:space="0" w:color="auto"/>
          </w:tblBorders>
        </w:tblPrEx>
        <w:trPr>
          <w:gridBefore w:val="1"/>
          <w:wBefore w:w="3" w:type="pct"/>
          <w:tblCellSpacing w:w="15" w:type="dxa"/>
        </w:trPr>
        <w:tc>
          <w:tcPr>
            <w:tcW w:w="1114" w:type="pct"/>
            <w:gridSpan w:val="2"/>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gridSpan w:val="4"/>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Long sleeve shirt recommended. Do not wear rings, watches, or similar apparel that could entrap the material and cause a mild skin reaction. Neoprene, </w:t>
            </w:r>
            <w:proofErr w:type="spellStart"/>
            <w:r>
              <w:rPr>
                <w:rFonts w:ascii="Arial" w:eastAsia="Times New Roman" w:hAnsi="Arial" w:cs="Arial"/>
                <w:color w:val="000000"/>
                <w:sz w:val="20"/>
                <w:szCs w:val="20"/>
              </w:rPr>
              <w:t>Nitrile</w:t>
            </w:r>
            <w:proofErr w:type="spellEnd"/>
            <w:r>
              <w:rPr>
                <w:rFonts w:ascii="Arial" w:eastAsia="Times New Roman" w:hAnsi="Arial" w:cs="Arial"/>
                <w:color w:val="000000"/>
                <w:sz w:val="20"/>
                <w:szCs w:val="20"/>
              </w:rPr>
              <w:t xml:space="preserve">, or </w:t>
            </w:r>
            <w:proofErr w:type="spellStart"/>
            <w:r>
              <w:rPr>
                <w:rFonts w:ascii="Arial" w:eastAsia="Times New Roman" w:hAnsi="Arial" w:cs="Arial"/>
                <w:color w:val="000000"/>
                <w:sz w:val="20"/>
                <w:szCs w:val="20"/>
              </w:rPr>
              <w:t>Viton</w:t>
            </w:r>
            <w:proofErr w:type="spellEnd"/>
            <w:r>
              <w:rPr>
                <w:rFonts w:ascii="Arial" w:eastAsia="Times New Roman" w:hAnsi="Arial" w:cs="Arial"/>
                <w:color w:val="000000"/>
                <w:sz w:val="20"/>
                <w:szCs w:val="20"/>
              </w:rPr>
              <w:t xml:space="preserve">. or exhaust may be required to maintain air concentrations below recommended exposure limits.   </w:t>
            </w:r>
          </w:p>
        </w:tc>
      </w:tr>
      <w:tr w:rsidR="00535D5D" w:rsidTr="00971DA7">
        <w:tblPrEx>
          <w:tblBorders>
            <w:top w:val="none" w:sz="0" w:space="0" w:color="auto"/>
            <w:left w:val="none" w:sz="0" w:space="0" w:color="auto"/>
            <w:bottom w:val="none" w:sz="0" w:space="0" w:color="auto"/>
            <w:right w:val="none" w:sz="0" w:space="0" w:color="auto"/>
          </w:tblBorders>
        </w:tblPrEx>
        <w:trPr>
          <w:gridBefore w:val="1"/>
          <w:wBefore w:w="3" w:type="pct"/>
          <w:tblCellSpacing w:w="15" w:type="dxa"/>
        </w:trPr>
        <w:tc>
          <w:tcPr>
            <w:tcW w:w="1114" w:type="pct"/>
            <w:gridSpan w:val="2"/>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gridSpan w:val="4"/>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w:t>
            </w:r>
            <w:r w:rsidR="0032725F">
              <w:rPr>
                <w:rFonts w:ascii="Arial" w:eastAsia="Times New Roman" w:hAnsi="Arial" w:cs="Arial"/>
                <w:color w:val="000000"/>
                <w:sz w:val="20"/>
                <w:szCs w:val="20"/>
              </w:rPr>
              <w:t xml:space="preserve">ory protection must be worn. </w:t>
            </w:r>
          </w:p>
        </w:tc>
      </w:tr>
      <w:tr w:rsidR="00535D5D" w:rsidTr="00971DA7">
        <w:tblPrEx>
          <w:tblBorders>
            <w:top w:val="none" w:sz="0" w:space="0" w:color="auto"/>
            <w:left w:val="none" w:sz="0" w:space="0" w:color="auto"/>
            <w:bottom w:val="none" w:sz="0" w:space="0" w:color="auto"/>
            <w:right w:val="none" w:sz="0" w:space="0" w:color="auto"/>
          </w:tblBorders>
        </w:tblPrEx>
        <w:trPr>
          <w:gridBefore w:val="1"/>
          <w:wBefore w:w="3" w:type="pct"/>
          <w:tblCellSpacing w:w="15" w:type="dxa"/>
        </w:trPr>
        <w:tc>
          <w:tcPr>
            <w:tcW w:w="1114" w:type="pct"/>
            <w:gridSpan w:val="2"/>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gridSpan w:val="4"/>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Use local exhaust ventilation to control mists or vapors. Additional ventilation may be required to maintain air concentrations below recommended exposure limits. Use good personal hygiene practices. Wash hands before eating, drinking, smoking or using toilet. Promptly remove soiled clothing and wash thoroughly before reuse.   </w:t>
            </w:r>
          </w:p>
        </w:tc>
      </w:tr>
    </w:tbl>
    <w:p w:rsidR="00535D5D" w:rsidRDefault="00535D5D">
      <w:pPr>
        <w:rPr>
          <w:rFonts w:eastAsia="Times New Roman"/>
          <w:vanish/>
        </w:rPr>
      </w:pPr>
    </w:p>
    <w:p w:rsidR="0032725F" w:rsidRDefault="0032725F">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5192"/>
        <w:gridCol w:w="5177"/>
        <w:gridCol w:w="131"/>
      </w:tblGrid>
      <w:tr w:rsidR="00535D5D">
        <w:trPr>
          <w:tblCellSpacing w:w="15" w:type="dxa"/>
        </w:trPr>
        <w:tc>
          <w:tcPr>
            <w:tcW w:w="10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Amber Liquid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10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petroleum odor</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10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10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10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10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380°F (COC)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0.879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Partition coefficient n-</w:t>
            </w:r>
            <w:proofErr w:type="spellStart"/>
            <w:r>
              <w:rPr>
                <w:rFonts w:ascii="Arial" w:eastAsia="Times New Roman" w:hAnsi="Arial" w:cs="Arial"/>
                <w:b/>
                <w:bCs/>
                <w:color w:val="000000"/>
                <w:sz w:val="20"/>
                <w:szCs w:val="20"/>
              </w:rPr>
              <w:t>octanol</w:t>
            </w:r>
            <w:proofErr w:type="spellEnd"/>
            <w:r>
              <w:rPr>
                <w:rFonts w:ascii="Arial" w:eastAsia="Times New Roman" w:hAnsi="Arial" w:cs="Arial"/>
                <w:b/>
                <w:bCs/>
                <w:color w:val="000000"/>
                <w:sz w:val="20"/>
                <w:szCs w:val="20"/>
              </w:rPr>
              <w:t xml:space="preserve">/water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2500" w:type="pct"/>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535D5D" w:rsidRDefault="007203E0">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DMSO extract by IP346: Less than 3.0 wt % (mineral oil component only)</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Material is stable.</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Excessive heat and open flame.</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Strong oxidizing agents and acids.</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Smoke, Carbon monoxide and other products of incomplete combustion. </w:t>
            </w:r>
          </w:p>
        </w:tc>
      </w:tr>
    </w:tbl>
    <w:p w:rsidR="00535D5D" w:rsidRDefault="00535D5D">
      <w:pPr>
        <w:rPr>
          <w:rFonts w:eastAsia="Times New Roman"/>
        </w:rPr>
      </w:pPr>
    </w:p>
    <w:p w:rsidR="0032725F" w:rsidRDefault="0032725F">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Pr>
                <w:rFonts w:ascii="Arial" w:eastAsia="Times New Roman" w:hAnsi="Arial" w:cs="Arial"/>
                <w:color w:val="000000"/>
                <w:sz w:val="20"/>
                <w:szCs w:val="20"/>
              </w:rPr>
              <w:br/>
            </w:r>
            <w:r>
              <w:rPr>
                <w:rFonts w:ascii="Arial" w:eastAsia="Times New Roman" w:hAnsi="Arial" w:cs="Arial"/>
                <w:color w:val="000000"/>
                <w:sz w:val="20"/>
                <w:szCs w:val="20"/>
              </w:rPr>
              <w:br/>
              <w:t>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w:t>
            </w:r>
          </w:p>
          <w:p w:rsidR="00AB0AE4" w:rsidRDefault="00AB0AE4">
            <w:pPr>
              <w:rPr>
                <w:rFonts w:ascii="Arial" w:eastAsia="Times New Roman" w:hAnsi="Arial" w:cs="Arial"/>
                <w:color w:val="000000"/>
                <w:sz w:val="20"/>
                <w:szCs w:val="20"/>
              </w:rPr>
            </w:pPr>
          </w:p>
          <w:p w:rsidR="00AB0AE4" w:rsidRDefault="00AB0AE4">
            <w:pPr>
              <w:rPr>
                <w:rFonts w:ascii="Arial" w:eastAsia="Times New Roman" w:hAnsi="Arial" w:cs="Arial"/>
                <w:color w:val="000000"/>
                <w:sz w:val="20"/>
                <w:szCs w:val="20"/>
              </w:rPr>
            </w:pPr>
          </w:p>
        </w:tc>
      </w:tr>
      <w:tr w:rsidR="00535D5D">
        <w:trPr>
          <w:tblCellSpacing w:w="15" w:type="dxa"/>
        </w:trPr>
        <w:tc>
          <w:tcPr>
            <w:tcW w:w="0" w:type="auto"/>
            <w:vAlign w:val="center"/>
            <w:hideMark/>
          </w:tcPr>
          <w:p w:rsidR="00535D5D" w:rsidRDefault="00535D5D">
            <w:pPr>
              <w:rPr>
                <w:rFonts w:ascii="Arial" w:eastAsia="Times New Roman" w:hAnsi="Arial" w:cs="Arial"/>
                <w:color w:val="000000"/>
                <w:sz w:val="20"/>
                <w:szCs w:val="20"/>
              </w:rPr>
            </w:pPr>
          </w:p>
        </w:tc>
      </w:tr>
    </w:tbl>
    <w:p w:rsidR="00535D5D" w:rsidRDefault="00535D5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54"/>
        <w:gridCol w:w="1258"/>
        <w:gridCol w:w="1260"/>
        <w:gridCol w:w="1261"/>
        <w:gridCol w:w="1291"/>
        <w:gridCol w:w="1276"/>
      </w:tblGrid>
      <w:tr w:rsidR="00535D5D" w:rsidTr="0016630C">
        <w:trPr>
          <w:tblCellSpacing w:w="15" w:type="dxa"/>
        </w:trPr>
        <w:tc>
          <w:tcPr>
            <w:tcW w:w="1957"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85"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6"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6"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86" w:type="pct"/>
            <w:tcBorders>
              <w:top w:val="outset" w:sz="6" w:space="0" w:color="auto"/>
              <w:left w:val="outset" w:sz="6" w:space="0" w:color="auto"/>
              <w:bottom w:val="outset" w:sz="6" w:space="0" w:color="auto"/>
              <w:right w:val="outset" w:sz="6" w:space="0" w:color="auto"/>
            </w:tcBorders>
            <w:noWrap/>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ppm</w:t>
            </w:r>
            <w:proofErr w:type="spellEnd"/>
          </w:p>
        </w:tc>
      </w:tr>
      <w:tr w:rsidR="0016630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6630C" w:rsidRDefault="00B649EF" w:rsidP="003034AF">
            <w:pPr>
              <w:rPr>
                <w:rFonts w:ascii="Arial" w:eastAsia="Times New Roman" w:hAnsi="Arial" w:cs="Arial"/>
                <w:color w:val="000000"/>
                <w:sz w:val="16"/>
                <w:szCs w:val="16"/>
              </w:rPr>
            </w:pPr>
            <w:r>
              <w:rPr>
                <w:rFonts w:ascii="Arial" w:eastAsia="Times New Roman" w:hAnsi="Arial" w:cs="Arial"/>
                <w:color w:val="000000"/>
                <w:sz w:val="16"/>
                <w:szCs w:val="16"/>
              </w:rPr>
              <w:t xml:space="preserve">Paraffin Oil, catalytic </w:t>
            </w:r>
            <w:proofErr w:type="spellStart"/>
            <w:r>
              <w:rPr>
                <w:rFonts w:ascii="Arial" w:eastAsia="Times New Roman" w:hAnsi="Arial" w:cs="Arial"/>
                <w:color w:val="000000"/>
                <w:sz w:val="16"/>
                <w:szCs w:val="16"/>
              </w:rPr>
              <w:t>dewaxed</w:t>
            </w:r>
            <w:proofErr w:type="spellEnd"/>
            <w:r>
              <w:rPr>
                <w:rFonts w:ascii="Arial" w:eastAsia="Times New Roman" w:hAnsi="Arial" w:cs="Arial"/>
                <w:color w:val="000000"/>
                <w:sz w:val="16"/>
                <w:szCs w:val="16"/>
              </w:rPr>
              <w:t xml:space="preserve"> heavy (64742-70-7)</w:t>
            </w:r>
          </w:p>
        </w:tc>
        <w:tc>
          <w:tcPr>
            <w:tcW w:w="0" w:type="auto"/>
            <w:tcBorders>
              <w:top w:val="outset" w:sz="6" w:space="0" w:color="auto"/>
              <w:left w:val="outset" w:sz="6" w:space="0" w:color="auto"/>
              <w:bottom w:val="outset" w:sz="6" w:space="0" w:color="auto"/>
              <w:right w:val="outset" w:sz="6" w:space="0" w:color="auto"/>
            </w:tcBorders>
            <w:hideMark/>
          </w:tcPr>
          <w:p w:rsidR="0016630C" w:rsidRDefault="0016630C" w:rsidP="003034AF">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16630C" w:rsidRDefault="0016630C" w:rsidP="003034AF">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16630C" w:rsidRDefault="0016630C" w:rsidP="003034AF">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16630C" w:rsidRDefault="0016630C" w:rsidP="003034AF">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16630C" w:rsidRDefault="0016630C" w:rsidP="003034AF">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16"/>
                <w:szCs w:val="16"/>
              </w:rPr>
            </w:pPr>
            <w:r>
              <w:rPr>
                <w:rFonts w:ascii="Arial" w:eastAsia="Times New Roman" w:hAnsi="Arial" w:cs="Arial"/>
                <w:color w:val="000000"/>
                <w:sz w:val="16"/>
                <w:szCs w:val="16"/>
              </w:rPr>
              <w:lastRenderedPageBreak/>
              <w:t>Oils, lard - (8016-28-2)</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535D5D" w:rsidRDefault="00535D5D">
      <w:pPr>
        <w:rPr>
          <w:rFonts w:eastAsia="Times New Roman"/>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70"/>
        <w:gridCol w:w="1669"/>
        <w:gridCol w:w="4961"/>
      </w:tblGrid>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535D5D" w:rsidRDefault="009063E9">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Germ cell </w:t>
            </w:r>
            <w:proofErr w:type="spellStart"/>
            <w:r>
              <w:rPr>
                <w:rFonts w:ascii="Arial" w:eastAsia="Times New Roman" w:hAnsi="Arial" w:cs="Arial"/>
                <w:color w:val="000000"/>
                <w:sz w:val="20"/>
                <w:szCs w:val="20"/>
              </w:rPr>
              <w:t>mutagenicity</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35D5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32725F" w:rsidRDefault="009063E9" w:rsidP="0032725F">
            <w:pPr>
              <w:rPr>
                <w:rFonts w:ascii="Arial" w:eastAsia="Times New Roman" w:hAnsi="Arial" w:cs="Arial"/>
                <w:color w:val="000000"/>
                <w:sz w:val="20"/>
                <w:szCs w:val="20"/>
              </w:rPr>
            </w:pPr>
            <w:r>
              <w:rPr>
                <w:rFonts w:ascii="Arial" w:eastAsia="Times New Roman" w:hAnsi="Arial" w:cs="Arial"/>
                <w:b/>
                <w:bCs/>
                <w:color w:val="000000"/>
                <w:sz w:val="20"/>
                <w:szCs w:val="20"/>
              </w:rPr>
              <w:t>12.1. Toxicity</w:t>
            </w:r>
            <w:r w:rsidR="0032725F">
              <w:rPr>
                <w:rFonts w:ascii="Arial" w:eastAsia="Times New Roman" w:hAnsi="Arial" w:cs="Arial"/>
                <w:color w:val="000000"/>
                <w:sz w:val="20"/>
                <w:szCs w:val="20"/>
              </w:rPr>
              <w:t xml:space="preserve"> </w:t>
            </w:r>
          </w:p>
          <w:p w:rsidR="0032725F" w:rsidRDefault="0032725F" w:rsidP="0032725F">
            <w:pPr>
              <w:rPr>
                <w:rFonts w:ascii="Arial" w:eastAsia="Times New Roman" w:hAnsi="Arial" w:cs="Arial"/>
                <w:b/>
                <w:bCs/>
                <w:color w:val="000000"/>
                <w:sz w:val="20"/>
                <w:szCs w:val="20"/>
              </w:rPr>
            </w:pPr>
            <w:r>
              <w:rPr>
                <w:rFonts w:ascii="Arial" w:eastAsia="Times New Roman" w:hAnsi="Arial" w:cs="Arial"/>
                <w:color w:val="000000"/>
                <w:sz w:val="20"/>
                <w:szCs w:val="20"/>
              </w:rPr>
              <w:t>No additional information provided for this product. See Section 3 for chemical specific data.</w:t>
            </w:r>
            <w:r>
              <w:rPr>
                <w:rFonts w:ascii="Arial" w:eastAsia="Times New Roman" w:hAnsi="Arial" w:cs="Arial"/>
                <w:b/>
                <w:bCs/>
                <w:color w:val="000000"/>
                <w:sz w:val="20"/>
                <w:szCs w:val="20"/>
              </w:rPr>
              <w:t xml:space="preserve"> </w:t>
            </w:r>
          </w:p>
          <w:p w:rsidR="00535D5D" w:rsidRDefault="0032725F" w:rsidP="0032725F">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bl>
    <w:p w:rsidR="00535D5D" w:rsidRDefault="00535D5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78"/>
        <w:gridCol w:w="1993"/>
        <w:gridCol w:w="1993"/>
        <w:gridCol w:w="2436"/>
      </w:tblGrid>
      <w:tr w:rsidR="00535D5D" w:rsidTr="0032725F">
        <w:trPr>
          <w:tblCellSpacing w:w="15" w:type="dxa"/>
        </w:trPr>
        <w:tc>
          <w:tcPr>
            <w:tcW w:w="1920" w:type="pct"/>
            <w:tcBorders>
              <w:top w:val="outset" w:sz="6" w:space="0" w:color="auto"/>
              <w:left w:val="outset" w:sz="6" w:space="0" w:color="auto"/>
              <w:bottom w:val="outset" w:sz="6" w:space="0" w:color="auto"/>
              <w:right w:val="outset" w:sz="6" w:space="0" w:color="auto"/>
            </w:tcBorders>
            <w:noWrap/>
            <w:vAlign w:val="center"/>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935" w:type="pct"/>
            <w:tcBorders>
              <w:top w:val="outset" w:sz="6" w:space="0" w:color="auto"/>
              <w:left w:val="outset" w:sz="6" w:space="0" w:color="auto"/>
              <w:bottom w:val="outset" w:sz="6" w:space="0" w:color="auto"/>
              <w:right w:val="outset" w:sz="6" w:space="0" w:color="auto"/>
            </w:tcBorders>
            <w:noWrap/>
            <w:vAlign w:val="center"/>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935" w:type="pct"/>
            <w:tcBorders>
              <w:top w:val="outset" w:sz="6" w:space="0" w:color="auto"/>
              <w:left w:val="outset" w:sz="6" w:space="0" w:color="auto"/>
              <w:bottom w:val="outset" w:sz="6" w:space="0" w:color="auto"/>
              <w:right w:val="outset" w:sz="6" w:space="0" w:color="auto"/>
            </w:tcBorders>
            <w:noWrap/>
            <w:vAlign w:val="center"/>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139" w:type="pct"/>
            <w:tcBorders>
              <w:top w:val="outset" w:sz="6" w:space="0" w:color="auto"/>
              <w:left w:val="outset" w:sz="6" w:space="0" w:color="auto"/>
              <w:bottom w:val="outset" w:sz="6" w:space="0" w:color="auto"/>
              <w:right w:val="outset" w:sz="6" w:space="0" w:color="auto"/>
            </w:tcBorders>
            <w:noWrap/>
            <w:vAlign w:val="center"/>
            <w:hideMark/>
          </w:tcPr>
          <w:p w:rsidR="00535D5D" w:rsidRDefault="009063E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16630C">
            <w:pPr>
              <w:rPr>
                <w:rFonts w:ascii="Arial" w:eastAsia="Times New Roman" w:hAnsi="Arial" w:cs="Arial"/>
                <w:color w:val="000000"/>
                <w:sz w:val="16"/>
                <w:szCs w:val="16"/>
              </w:rPr>
            </w:pPr>
            <w:r>
              <w:rPr>
                <w:rFonts w:ascii="Arial" w:eastAsia="Times New Roman" w:hAnsi="Arial" w:cs="Arial"/>
                <w:color w:val="000000"/>
                <w:sz w:val="16"/>
                <w:szCs w:val="16"/>
              </w:rPr>
              <w:t>Petroleum Oil - (64742-58-1)</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B649EF">
            <w:pPr>
              <w:rPr>
                <w:rFonts w:ascii="Arial" w:eastAsia="Times New Roman" w:hAnsi="Arial" w:cs="Arial"/>
                <w:color w:val="000000"/>
                <w:sz w:val="16"/>
                <w:szCs w:val="16"/>
              </w:rPr>
            </w:pPr>
            <w:r>
              <w:rPr>
                <w:rFonts w:ascii="Arial" w:eastAsia="Times New Roman" w:hAnsi="Arial" w:cs="Arial"/>
                <w:color w:val="000000"/>
                <w:sz w:val="16"/>
                <w:szCs w:val="16"/>
              </w:rPr>
              <w:t xml:space="preserve">Paraffin Oil, catalytic </w:t>
            </w:r>
            <w:proofErr w:type="spellStart"/>
            <w:r>
              <w:rPr>
                <w:rFonts w:ascii="Arial" w:eastAsia="Times New Roman" w:hAnsi="Arial" w:cs="Arial"/>
                <w:color w:val="000000"/>
                <w:sz w:val="16"/>
                <w:szCs w:val="16"/>
              </w:rPr>
              <w:t>dewaxed</w:t>
            </w:r>
            <w:proofErr w:type="spellEnd"/>
            <w:r>
              <w:rPr>
                <w:rFonts w:ascii="Arial" w:eastAsia="Times New Roman" w:hAnsi="Arial" w:cs="Arial"/>
                <w:color w:val="000000"/>
                <w:sz w:val="16"/>
                <w:szCs w:val="16"/>
              </w:rPr>
              <w:t xml:space="preserve"> heavy (64742-70-7)</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color w:val="000000"/>
                <w:sz w:val="16"/>
                <w:szCs w:val="16"/>
              </w:rPr>
            </w:pPr>
            <w:r>
              <w:rPr>
                <w:rFonts w:ascii="Arial" w:hAnsi="Arial" w:cs="Arial"/>
                <w:color w:val="000000"/>
                <w:sz w:val="16"/>
                <w:szCs w:val="16"/>
              </w:rPr>
              <w:t> Not Available    </w:t>
            </w:r>
          </w:p>
          <w:p w:rsidR="00AB0AE4" w:rsidRDefault="00AB0AE4">
            <w:pPr>
              <w:pStyle w:val="NormalWeb"/>
              <w:jc w:val="center"/>
              <w:rPr>
                <w:rFonts w:ascii="Arial" w:hAnsi="Arial" w:cs="Arial"/>
                <w:color w:val="000000"/>
                <w:sz w:val="16"/>
                <w:szCs w:val="16"/>
              </w:rPr>
            </w:pPr>
          </w:p>
        </w:tc>
      </w:tr>
    </w:tbl>
    <w:p w:rsidR="0032725F" w:rsidRDefault="0032725F" w:rsidP="0032725F">
      <w:pPr>
        <w:rPr>
          <w:rFonts w:ascii="Arial" w:eastAsia="Times New Roman" w:hAnsi="Arial" w:cs="Arial"/>
          <w:color w:val="000000"/>
          <w:sz w:val="20"/>
          <w:szCs w:val="20"/>
        </w:rPr>
      </w:pPr>
      <w:r>
        <w:rPr>
          <w:rFonts w:ascii="Arial" w:eastAsia="Times New Roman" w:hAnsi="Arial" w:cs="Arial"/>
          <w:b/>
          <w:bCs/>
          <w:color w:val="000000"/>
          <w:sz w:val="20"/>
          <w:szCs w:val="20"/>
        </w:rPr>
        <w:t>12.2. Persistence and degradability</w:t>
      </w:r>
      <w:r>
        <w:rPr>
          <w:rFonts w:ascii="Arial" w:eastAsia="Times New Roman" w:hAnsi="Arial" w:cs="Arial"/>
          <w:color w:val="000000"/>
          <w:sz w:val="20"/>
          <w:szCs w:val="20"/>
        </w:rPr>
        <w:t xml:space="preserve"> </w:t>
      </w:r>
    </w:p>
    <w:p w:rsidR="0032725F" w:rsidRDefault="0032725F" w:rsidP="0032725F">
      <w:pPr>
        <w:rPr>
          <w:rFonts w:ascii="Arial" w:eastAsia="Times New Roman" w:hAnsi="Arial" w:cs="Arial"/>
          <w:b/>
          <w:bCs/>
          <w:color w:val="000000"/>
          <w:sz w:val="20"/>
          <w:szCs w:val="20"/>
        </w:rPr>
      </w:pPr>
      <w:r>
        <w:rPr>
          <w:rFonts w:ascii="Arial" w:eastAsia="Times New Roman" w:hAnsi="Arial" w:cs="Arial"/>
          <w:color w:val="000000"/>
          <w:sz w:val="20"/>
          <w:szCs w:val="20"/>
        </w:rPr>
        <w:t>There is no data available on the preparation itself.</w:t>
      </w:r>
      <w:r>
        <w:rPr>
          <w:rFonts w:ascii="Arial" w:eastAsia="Times New Roman" w:hAnsi="Arial" w:cs="Arial"/>
          <w:b/>
          <w:bCs/>
          <w:color w:val="000000"/>
          <w:sz w:val="20"/>
          <w:szCs w:val="20"/>
        </w:rPr>
        <w:t xml:space="preserve"> </w:t>
      </w:r>
    </w:p>
    <w:p w:rsidR="0032725F" w:rsidRDefault="0032725F" w:rsidP="0032725F">
      <w:pPr>
        <w:rPr>
          <w:rFonts w:ascii="Arial" w:eastAsia="Times New Roman" w:hAnsi="Arial" w:cs="Arial"/>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r>
        <w:rPr>
          <w:rFonts w:ascii="Arial" w:eastAsia="Times New Roman" w:hAnsi="Arial" w:cs="Arial"/>
          <w:color w:val="000000"/>
          <w:sz w:val="20"/>
          <w:szCs w:val="20"/>
        </w:rPr>
        <w:t xml:space="preserve"> </w:t>
      </w:r>
    </w:p>
    <w:p w:rsidR="0032725F" w:rsidRDefault="0032725F" w:rsidP="0032725F">
      <w:pPr>
        <w:rPr>
          <w:rFonts w:ascii="Arial" w:eastAsia="Times New Roman" w:hAnsi="Arial" w:cs="Arial"/>
          <w:color w:val="000000"/>
          <w:sz w:val="20"/>
          <w:szCs w:val="20"/>
        </w:rPr>
      </w:pPr>
      <w:r>
        <w:rPr>
          <w:rFonts w:ascii="Arial" w:eastAsia="Times New Roman" w:hAnsi="Arial" w:cs="Arial"/>
          <w:color w:val="000000"/>
          <w:sz w:val="20"/>
          <w:szCs w:val="20"/>
        </w:rPr>
        <w:t>Not Measured</w:t>
      </w:r>
    </w:p>
    <w:p w:rsidR="0032725F" w:rsidRDefault="0032725F" w:rsidP="0032725F">
      <w:pPr>
        <w:rPr>
          <w:rFonts w:ascii="Arial" w:eastAsia="Times New Roman" w:hAnsi="Arial" w:cs="Arial"/>
          <w:color w:val="000000"/>
          <w:sz w:val="20"/>
          <w:szCs w:val="20"/>
        </w:rPr>
      </w:pPr>
      <w:r>
        <w:rPr>
          <w:rFonts w:ascii="Arial" w:eastAsia="Times New Roman" w:hAnsi="Arial" w:cs="Arial"/>
          <w:b/>
          <w:bCs/>
          <w:color w:val="000000"/>
          <w:sz w:val="20"/>
          <w:szCs w:val="20"/>
        </w:rPr>
        <w:t>12.4. Mobility in soil</w:t>
      </w:r>
      <w:r>
        <w:rPr>
          <w:rFonts w:ascii="Arial" w:eastAsia="Times New Roman" w:hAnsi="Arial" w:cs="Arial"/>
          <w:color w:val="000000"/>
          <w:sz w:val="20"/>
          <w:szCs w:val="20"/>
        </w:rPr>
        <w:t xml:space="preserve"> </w:t>
      </w:r>
    </w:p>
    <w:p w:rsidR="0032725F" w:rsidRDefault="0032725F" w:rsidP="0032725F">
      <w:pPr>
        <w:rPr>
          <w:rFonts w:ascii="Arial" w:eastAsia="Times New Roman" w:hAnsi="Arial" w:cs="Arial"/>
          <w:b/>
          <w:bCs/>
          <w:color w:val="000000"/>
          <w:sz w:val="20"/>
          <w:szCs w:val="20"/>
        </w:rPr>
      </w:pPr>
      <w:r>
        <w:rPr>
          <w:rFonts w:ascii="Arial" w:eastAsia="Times New Roman" w:hAnsi="Arial" w:cs="Arial"/>
          <w:color w:val="000000"/>
          <w:sz w:val="20"/>
          <w:szCs w:val="20"/>
        </w:rPr>
        <w:t>No data available.</w:t>
      </w:r>
      <w:r>
        <w:rPr>
          <w:rFonts w:ascii="Arial" w:eastAsia="Times New Roman" w:hAnsi="Arial" w:cs="Arial"/>
          <w:b/>
          <w:bCs/>
          <w:color w:val="000000"/>
          <w:sz w:val="20"/>
          <w:szCs w:val="20"/>
        </w:rPr>
        <w:t xml:space="preserve"> </w:t>
      </w:r>
    </w:p>
    <w:p w:rsidR="0032725F" w:rsidRDefault="0032725F" w:rsidP="0032725F">
      <w:pPr>
        <w:rPr>
          <w:rFonts w:ascii="Arial" w:eastAsia="Times New Roman" w:hAnsi="Arial" w:cs="Arial"/>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r>
        <w:rPr>
          <w:rFonts w:ascii="Arial" w:eastAsia="Times New Roman" w:hAnsi="Arial" w:cs="Arial"/>
          <w:color w:val="000000"/>
          <w:sz w:val="20"/>
          <w:szCs w:val="20"/>
        </w:rPr>
        <w:t xml:space="preserve"> </w:t>
      </w:r>
    </w:p>
    <w:p w:rsidR="0032725F" w:rsidRDefault="0032725F" w:rsidP="0032725F">
      <w:pPr>
        <w:rPr>
          <w:rFonts w:ascii="Arial" w:eastAsia="Times New Roman" w:hAnsi="Arial" w:cs="Arial"/>
          <w:b/>
          <w:bCs/>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r>
        <w:rPr>
          <w:rFonts w:ascii="Arial" w:eastAsia="Times New Roman" w:hAnsi="Arial" w:cs="Arial"/>
          <w:b/>
          <w:bCs/>
          <w:color w:val="000000"/>
          <w:sz w:val="20"/>
          <w:szCs w:val="20"/>
        </w:rPr>
        <w:t xml:space="preserve"> </w:t>
      </w:r>
    </w:p>
    <w:p w:rsidR="0032725F" w:rsidRDefault="0032725F" w:rsidP="0032725F">
      <w:pPr>
        <w:rPr>
          <w:rFonts w:ascii="Arial" w:eastAsia="Times New Roman" w:hAnsi="Arial" w:cs="Arial"/>
          <w:color w:val="000000"/>
          <w:sz w:val="20"/>
          <w:szCs w:val="20"/>
        </w:rPr>
      </w:pPr>
      <w:r>
        <w:rPr>
          <w:rFonts w:ascii="Arial" w:eastAsia="Times New Roman" w:hAnsi="Arial" w:cs="Arial"/>
          <w:b/>
          <w:bCs/>
          <w:color w:val="000000"/>
          <w:sz w:val="20"/>
          <w:szCs w:val="20"/>
        </w:rPr>
        <w:t>12.6. Other adverse effects</w:t>
      </w:r>
      <w:r>
        <w:rPr>
          <w:rFonts w:ascii="Arial" w:eastAsia="Times New Roman" w:hAnsi="Arial" w:cs="Arial"/>
          <w:color w:val="000000"/>
          <w:sz w:val="20"/>
          <w:szCs w:val="20"/>
        </w:rPr>
        <w:t xml:space="preserve"> </w:t>
      </w:r>
    </w:p>
    <w:p w:rsidR="00535D5D" w:rsidRDefault="0032725F" w:rsidP="0032725F">
      <w:pPr>
        <w:rPr>
          <w:rFonts w:eastAsia="Times New Roman"/>
        </w:rPr>
      </w:pPr>
      <w:r>
        <w:rPr>
          <w:rFonts w:ascii="Arial" w:eastAsia="Times New Roman" w:hAnsi="Arial" w:cs="Arial"/>
          <w:color w:val="000000"/>
          <w:sz w:val="20"/>
          <w:szCs w:val="20"/>
        </w:rPr>
        <w:t>No data available.</w:t>
      </w:r>
    </w:p>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Waste management should be in compliance with federal, state, and local laws. </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2675"/>
        <w:gridCol w:w="2854"/>
        <w:gridCol w:w="2526"/>
        <w:gridCol w:w="2445"/>
      </w:tblGrid>
      <w:tr w:rsidR="00535D5D">
        <w:trPr>
          <w:tblCellSpacing w:w="15" w:type="dxa"/>
        </w:trPr>
        <w:tc>
          <w:tcPr>
            <w:tcW w:w="2250" w:type="dxa"/>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127"/>
        <w:gridCol w:w="8373"/>
      </w:tblGrid>
      <w:tr w:rsidR="00535D5D">
        <w:trPr>
          <w:tblCellSpacing w:w="15" w:type="dxa"/>
        </w:trPr>
        <w:tc>
          <w:tcPr>
            <w:tcW w:w="10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535D5D">
        <w:trPr>
          <w:tblCellSpacing w:w="15" w:type="dxa"/>
        </w:trPr>
        <w:tc>
          <w:tcPr>
            <w:tcW w:w="0" w:type="auto"/>
            <w:gridSpan w:val="2"/>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535D5D">
        <w:trPr>
          <w:tblCellSpacing w:w="15" w:type="dxa"/>
        </w:trPr>
        <w:tc>
          <w:tcPr>
            <w:tcW w:w="1000"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535D5D" w:rsidRDefault="00535D5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2335"/>
        <w:gridCol w:w="8165"/>
      </w:tblGrid>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p w:rsidR="00AB0AE4" w:rsidRDefault="00AB0AE4">
            <w:pPr>
              <w:rPr>
                <w:rFonts w:ascii="Arial" w:eastAsia="Times New Roman" w:hAnsi="Arial" w:cs="Arial"/>
                <w:color w:val="000000"/>
                <w:sz w:val="20"/>
                <w:szCs w:val="20"/>
              </w:rPr>
            </w:pPr>
          </w:p>
          <w:p w:rsidR="00AB0AE4" w:rsidRDefault="00AB0AE4">
            <w:pPr>
              <w:rPr>
                <w:rFonts w:ascii="Arial" w:eastAsia="Times New Roman" w:hAnsi="Arial" w:cs="Arial"/>
                <w:color w:val="000000"/>
                <w:sz w:val="20"/>
                <w:szCs w:val="20"/>
              </w:rPr>
            </w:pPr>
          </w:p>
          <w:p w:rsidR="00AB0AE4" w:rsidRDefault="00AB0AE4">
            <w:pPr>
              <w:rPr>
                <w:rFonts w:ascii="Arial" w:eastAsia="Times New Roman" w:hAnsi="Arial" w:cs="Arial"/>
                <w:color w:val="000000"/>
                <w:sz w:val="20"/>
                <w:szCs w:val="20"/>
              </w:rPr>
            </w:pP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328"/>
        <w:gridCol w:w="3352"/>
        <w:gridCol w:w="4820"/>
      </w:tblGrid>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535D5D" w:rsidRDefault="009063E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35D5D" w:rsidRDefault="009063E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35D5D" w:rsidRDefault="009063E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35D5D" w:rsidRDefault="009063E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35D5D">
        <w:trPr>
          <w:tblCellSpacing w:w="15" w:type="dxa"/>
        </w:trPr>
        <w:tc>
          <w:tcPr>
            <w:tcW w:w="1100" w:type="pct"/>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35D5D" w:rsidRDefault="009063E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B649EF" w:rsidRDefault="009063E9">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r w:rsidR="00B649EF">
              <w:rPr>
                <w:rFonts w:ascii="Arial" w:eastAsia="Times New Roman" w:hAnsi="Arial" w:cs="Arial"/>
                <w:color w:val="000000"/>
                <w:sz w:val="20"/>
                <w:szCs w:val="20"/>
              </w:rPr>
              <w:t xml:space="preserve"> </w:t>
            </w:r>
          </w:p>
          <w:p w:rsidR="00535D5D" w:rsidRDefault="00B649EF">
            <w:pPr>
              <w:rPr>
                <w:rFonts w:ascii="Arial" w:eastAsia="Times New Roman" w:hAnsi="Arial" w:cs="Arial"/>
                <w:color w:val="000000"/>
                <w:sz w:val="20"/>
                <w:szCs w:val="20"/>
              </w:rPr>
            </w:pPr>
            <w:r>
              <w:rPr>
                <w:rFonts w:ascii="Arial" w:eastAsia="Times New Roman" w:hAnsi="Arial" w:cs="Arial"/>
                <w:color w:val="000000"/>
                <w:sz w:val="20"/>
                <w:szCs w:val="20"/>
              </w:rPr>
              <w:t>To the best of our knowledge, there are no chemicals at levels which require reporting under this statute.</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657"/>
        <w:gridCol w:w="9843"/>
      </w:tblGrid>
      <w:tr w:rsidR="00535D5D">
        <w:trPr>
          <w:tblCellSpacing w:w="15" w:type="dxa"/>
        </w:trPr>
        <w:tc>
          <w:tcPr>
            <w:tcW w:w="250" w:type="pct"/>
            <w:hideMark/>
          </w:tcPr>
          <w:p w:rsidR="00535D5D" w:rsidRDefault="00535D5D">
            <w:pPr>
              <w:rPr>
                <w:rFonts w:ascii="Arial" w:eastAsia="Times New Roman" w:hAnsi="Arial" w:cs="Arial"/>
                <w:color w:val="000000"/>
                <w:sz w:val="20"/>
                <w:szCs w:val="20"/>
              </w:rPr>
            </w:pPr>
          </w:p>
        </w:tc>
        <w:tc>
          <w:tcPr>
            <w:tcW w:w="4000" w:type="pct"/>
            <w:hideMark/>
          </w:tcPr>
          <w:p w:rsidR="00535D5D" w:rsidRDefault="00535D5D">
            <w:pPr>
              <w:rPr>
                <w:rFonts w:ascii="Arial" w:eastAsia="Times New Roman" w:hAnsi="Arial" w:cs="Arial"/>
                <w:color w:val="000000"/>
                <w:sz w:val="20"/>
                <w:szCs w:val="20"/>
              </w:rPr>
            </w:pPr>
          </w:p>
        </w:tc>
      </w:tr>
    </w:tbl>
    <w:p w:rsidR="0032725F" w:rsidRDefault="0032725F">
      <w:pPr>
        <w:rPr>
          <w:rFonts w:eastAsia="Times New Roman"/>
        </w:rPr>
      </w:pPr>
      <w:bookmarkStart w:id="0" w:name="_GoBack"/>
      <w:bookmarkEnd w:id="0"/>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535D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5D5D" w:rsidRDefault="009063E9">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535D5D" w:rsidRDefault="009063E9">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vAlign w:val="center"/>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H304 May be fatal if swallowed and enters airways.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535D5D">
            <w:pPr>
              <w:rPr>
                <w:rFonts w:ascii="Arial" w:eastAsia="Times New Roman" w:hAnsi="Arial" w:cs="Arial"/>
                <w:color w:val="000000"/>
                <w:sz w:val="20"/>
                <w:szCs w:val="20"/>
              </w:rPr>
            </w:pP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rPr>
                <w:rFonts w:ascii="Arial" w:eastAsia="Times New Roman" w:hAnsi="Arial" w:cs="Arial"/>
                <w:color w:val="000000"/>
                <w:sz w:val="20"/>
                <w:szCs w:val="20"/>
              </w:rPr>
            </w:pPr>
            <w:r>
              <w:rPr>
                <w:rFonts w:ascii="Arial" w:eastAsia="Times New Roman" w:hAnsi="Arial" w:cs="Arial"/>
                <w:color w:val="000000"/>
                <w:sz w:val="20"/>
                <w:szCs w:val="20"/>
              </w:rPr>
              <w:t>The information presented herein has been compiled from sources considered to be dependable and is accurate to the best of the Northeast Products Company’s knowledge; however, Northeast Products Company makes no warranty whatsoever, expressed or implied, of MERCHANT ABILITY OR FITNESS FOR THE PARTICULAR PURPOSE, regarding the accuracy of such data or the results to be obtained from the use thereof. The Northeast Products Company assumes no responsibility for injury to recipient or to third persons or for any damage to any property and recipient assumes all such risks.</w:t>
            </w:r>
          </w:p>
        </w:tc>
      </w:tr>
    </w:tbl>
    <w:p w:rsidR="00535D5D" w:rsidRDefault="00535D5D">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535D5D">
        <w:trPr>
          <w:tblCellSpacing w:w="15" w:type="dxa"/>
        </w:trPr>
        <w:tc>
          <w:tcPr>
            <w:tcW w:w="0" w:type="auto"/>
            <w:hideMark/>
          </w:tcPr>
          <w:p w:rsidR="00535D5D" w:rsidRDefault="009063E9">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063E9" w:rsidRDefault="009063E9">
      <w:pPr>
        <w:rPr>
          <w:rFonts w:eastAsia="Times New Roman"/>
        </w:rPr>
      </w:pPr>
    </w:p>
    <w:sectPr w:rsidR="009063E9" w:rsidSect="00E207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D4" w:rsidRDefault="00C15CD4" w:rsidP="0032725F">
      <w:r>
        <w:separator/>
      </w:r>
    </w:p>
  </w:endnote>
  <w:endnote w:type="continuationSeparator" w:id="0">
    <w:p w:rsidR="00C15CD4" w:rsidRDefault="00C15CD4" w:rsidP="00327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88527"/>
      <w:docPartObj>
        <w:docPartGallery w:val="Page Numbers (Bottom of Page)"/>
        <w:docPartUnique/>
      </w:docPartObj>
    </w:sdtPr>
    <w:sdtContent>
      <w:sdt>
        <w:sdtPr>
          <w:id w:val="-1669238322"/>
          <w:docPartObj>
            <w:docPartGallery w:val="Page Numbers (Top of Page)"/>
            <w:docPartUnique/>
          </w:docPartObj>
        </w:sdtPr>
        <w:sdtContent>
          <w:p w:rsidR="0032725F" w:rsidRDefault="0032725F">
            <w:pPr>
              <w:pStyle w:val="Footer"/>
              <w:jc w:val="center"/>
            </w:pPr>
            <w:r>
              <w:t xml:space="preserve">Page </w:t>
            </w:r>
            <w:r w:rsidR="00736F1A">
              <w:rPr>
                <w:b/>
                <w:bCs/>
              </w:rPr>
              <w:fldChar w:fldCharType="begin"/>
            </w:r>
            <w:r>
              <w:rPr>
                <w:b/>
                <w:bCs/>
              </w:rPr>
              <w:instrText xml:space="preserve"> PAGE </w:instrText>
            </w:r>
            <w:r w:rsidR="00736F1A">
              <w:rPr>
                <w:b/>
                <w:bCs/>
              </w:rPr>
              <w:fldChar w:fldCharType="separate"/>
            </w:r>
            <w:r w:rsidR="00971DA7">
              <w:rPr>
                <w:b/>
                <w:bCs/>
                <w:noProof/>
              </w:rPr>
              <w:t>1</w:t>
            </w:r>
            <w:r w:rsidR="00736F1A">
              <w:rPr>
                <w:b/>
                <w:bCs/>
              </w:rPr>
              <w:fldChar w:fldCharType="end"/>
            </w:r>
            <w:r>
              <w:t xml:space="preserve"> of </w:t>
            </w:r>
            <w:r w:rsidR="00736F1A">
              <w:rPr>
                <w:b/>
                <w:bCs/>
              </w:rPr>
              <w:fldChar w:fldCharType="begin"/>
            </w:r>
            <w:r>
              <w:rPr>
                <w:b/>
                <w:bCs/>
              </w:rPr>
              <w:instrText xml:space="preserve"> NUMPAGES  </w:instrText>
            </w:r>
            <w:r w:rsidR="00736F1A">
              <w:rPr>
                <w:b/>
                <w:bCs/>
              </w:rPr>
              <w:fldChar w:fldCharType="separate"/>
            </w:r>
            <w:r w:rsidR="00971DA7">
              <w:rPr>
                <w:b/>
                <w:bCs/>
                <w:noProof/>
              </w:rPr>
              <w:t>9</w:t>
            </w:r>
            <w:r w:rsidR="00736F1A">
              <w:rPr>
                <w:b/>
                <w:bCs/>
              </w:rPr>
              <w:fldChar w:fldCharType="end"/>
            </w:r>
          </w:p>
        </w:sdtContent>
      </w:sdt>
    </w:sdtContent>
  </w:sdt>
  <w:p w:rsidR="0032725F" w:rsidRDefault="00327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D4" w:rsidRDefault="00C15CD4" w:rsidP="0032725F">
      <w:r>
        <w:separator/>
      </w:r>
    </w:p>
  </w:footnote>
  <w:footnote w:type="continuationSeparator" w:id="0">
    <w:p w:rsidR="00C15CD4" w:rsidRDefault="00C15CD4" w:rsidP="00327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CellSpacing w:w="15" w:type="dxa"/>
      <w:tblCellMar>
        <w:top w:w="15" w:type="dxa"/>
        <w:left w:w="15" w:type="dxa"/>
        <w:bottom w:w="15" w:type="dxa"/>
        <w:right w:w="15" w:type="dxa"/>
      </w:tblCellMar>
      <w:tblLook w:val="04A0"/>
    </w:tblPr>
    <w:tblGrid>
      <w:gridCol w:w="10500"/>
    </w:tblGrid>
    <w:tr w:rsidR="0032725F" w:rsidTr="001E3C3E">
      <w:trPr>
        <w:tblCellSpacing w:w="15" w:type="dxa"/>
      </w:trPr>
      <w:tc>
        <w:tcPr>
          <w:tcW w:w="0" w:type="auto"/>
          <w:hideMark/>
        </w:tcPr>
        <w:p w:rsidR="0032725F" w:rsidRDefault="0032725F" w:rsidP="001E3C3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32725F" w:rsidTr="001E3C3E">
      <w:trPr>
        <w:tblCellSpacing w:w="15" w:type="dxa"/>
      </w:trPr>
      <w:tc>
        <w:tcPr>
          <w:tcW w:w="0" w:type="auto"/>
          <w:hideMark/>
        </w:tcPr>
        <w:p w:rsidR="0032725F" w:rsidRDefault="00351496" w:rsidP="00584582">
          <w:pPr>
            <w:jc w:val="center"/>
            <w:rPr>
              <w:rFonts w:ascii="Arial" w:eastAsia="Times New Roman" w:hAnsi="Arial" w:cs="Arial"/>
              <w:b/>
              <w:bCs/>
              <w:color w:val="000000"/>
              <w:sz w:val="28"/>
              <w:szCs w:val="28"/>
            </w:rPr>
          </w:pPr>
          <w:proofErr w:type="spellStart"/>
          <w:r>
            <w:rPr>
              <w:rFonts w:ascii="Arial" w:eastAsia="Times New Roman" w:hAnsi="Arial" w:cs="Arial"/>
              <w:b/>
              <w:bCs/>
              <w:color w:val="000000"/>
              <w:sz w:val="28"/>
              <w:szCs w:val="28"/>
            </w:rPr>
            <w:t>Cleavol</w:t>
          </w:r>
          <w:proofErr w:type="spellEnd"/>
          <w:r>
            <w:rPr>
              <w:rFonts w:ascii="Arial" w:eastAsia="Times New Roman" w:hAnsi="Arial" w:cs="Arial"/>
              <w:b/>
              <w:bCs/>
              <w:color w:val="000000"/>
              <w:sz w:val="28"/>
              <w:szCs w:val="28"/>
            </w:rPr>
            <w:t xml:space="preserve"> </w:t>
          </w:r>
          <w:r w:rsidR="00584582">
            <w:rPr>
              <w:rFonts w:ascii="Arial" w:eastAsia="Times New Roman" w:hAnsi="Arial" w:cs="Arial"/>
              <w:b/>
              <w:bCs/>
              <w:color w:val="000000"/>
              <w:sz w:val="28"/>
              <w:szCs w:val="28"/>
            </w:rPr>
            <w:t>220</w:t>
          </w:r>
          <w:r w:rsidR="0032725F">
            <w:rPr>
              <w:rFonts w:ascii="Arial" w:eastAsia="Times New Roman" w:hAnsi="Arial" w:cs="Arial"/>
              <w:b/>
              <w:bCs/>
              <w:color w:val="000000"/>
              <w:sz w:val="28"/>
              <w:szCs w:val="28"/>
            </w:rPr>
            <w:t xml:space="preserve"> </w:t>
          </w:r>
        </w:p>
      </w:tc>
    </w:tr>
  </w:tbl>
  <w:p w:rsidR="0032725F" w:rsidRDefault="0032725F" w:rsidP="0032725F">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4716"/>
      <w:gridCol w:w="3663"/>
      <w:gridCol w:w="2121"/>
    </w:tblGrid>
    <w:tr w:rsidR="0032725F" w:rsidTr="001E3C3E">
      <w:trPr>
        <w:tblCellSpacing w:w="15" w:type="dxa"/>
      </w:trPr>
      <w:tc>
        <w:tcPr>
          <w:tcW w:w="2250" w:type="pct"/>
          <w:hideMark/>
        </w:tcPr>
        <w:p w:rsidR="0032725F" w:rsidRDefault="0032725F" w:rsidP="001E3C3E">
          <w:pPr>
            <w:rPr>
              <w:rFonts w:ascii="Arial" w:eastAsia="Times New Roman" w:hAnsi="Arial" w:cs="Arial"/>
              <w:b/>
              <w:bCs/>
              <w:color w:val="000000"/>
              <w:sz w:val="20"/>
              <w:szCs w:val="20"/>
            </w:rPr>
          </w:pPr>
        </w:p>
      </w:tc>
      <w:tc>
        <w:tcPr>
          <w:tcW w:w="1750" w:type="pct"/>
          <w:hideMark/>
        </w:tcPr>
        <w:p w:rsidR="0032725F" w:rsidRDefault="0032725F" w:rsidP="001E3C3E">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584582" w:rsidRDefault="00584582" w:rsidP="001E3C3E">
          <w:pPr>
            <w:rPr>
              <w:rFonts w:ascii="Arial" w:eastAsia="Times New Roman" w:hAnsi="Arial" w:cs="Arial"/>
              <w:b/>
              <w:bCs/>
              <w:color w:val="000000"/>
              <w:sz w:val="20"/>
              <w:szCs w:val="20"/>
            </w:rPr>
          </w:pPr>
          <w:r>
            <w:rPr>
              <w:rFonts w:ascii="Arial" w:eastAsia="Times New Roman" w:hAnsi="Arial" w:cs="Arial"/>
              <w:b/>
              <w:bCs/>
              <w:color w:val="000000"/>
              <w:sz w:val="20"/>
              <w:szCs w:val="20"/>
            </w:rPr>
            <w:t>01/26/16</w:t>
          </w:r>
        </w:p>
      </w:tc>
    </w:tr>
    <w:tr w:rsidR="00584582" w:rsidTr="001E3C3E">
      <w:trPr>
        <w:tblCellSpacing w:w="15" w:type="dxa"/>
      </w:trPr>
      <w:tc>
        <w:tcPr>
          <w:tcW w:w="2250" w:type="pct"/>
        </w:tcPr>
        <w:p w:rsidR="00584582" w:rsidRDefault="00584582" w:rsidP="001E3C3E">
          <w:pPr>
            <w:rPr>
              <w:rFonts w:ascii="Arial" w:eastAsia="Times New Roman" w:hAnsi="Arial" w:cs="Arial"/>
              <w:b/>
              <w:bCs/>
              <w:color w:val="000000"/>
              <w:sz w:val="20"/>
              <w:szCs w:val="20"/>
            </w:rPr>
          </w:pPr>
        </w:p>
      </w:tc>
      <w:tc>
        <w:tcPr>
          <w:tcW w:w="1750" w:type="pct"/>
        </w:tcPr>
        <w:p w:rsidR="00584582" w:rsidRDefault="00584582" w:rsidP="001E3C3E">
          <w:pPr>
            <w:rPr>
              <w:rFonts w:ascii="Arial" w:eastAsia="Times New Roman" w:hAnsi="Arial" w:cs="Arial"/>
              <w:b/>
              <w:bCs/>
              <w:color w:val="000000"/>
              <w:sz w:val="20"/>
              <w:szCs w:val="20"/>
            </w:rPr>
          </w:pPr>
        </w:p>
      </w:tc>
      <w:tc>
        <w:tcPr>
          <w:tcW w:w="1000" w:type="pct"/>
        </w:tcPr>
        <w:p w:rsidR="00584582" w:rsidRDefault="00584582" w:rsidP="001E3C3E">
          <w:pPr>
            <w:rPr>
              <w:rFonts w:ascii="Arial" w:eastAsia="Times New Roman" w:hAnsi="Arial" w:cs="Arial"/>
              <w:b/>
              <w:bCs/>
              <w:color w:val="000000"/>
              <w:sz w:val="20"/>
              <w:szCs w:val="20"/>
            </w:rPr>
          </w:pPr>
        </w:p>
      </w:tc>
    </w:tr>
  </w:tbl>
  <w:p w:rsidR="0032725F" w:rsidRDefault="00327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32725F"/>
    <w:rsid w:val="0002783F"/>
    <w:rsid w:val="0016630C"/>
    <w:rsid w:val="002D3D82"/>
    <w:rsid w:val="002F742D"/>
    <w:rsid w:val="0032725F"/>
    <w:rsid w:val="0033747F"/>
    <w:rsid w:val="00351496"/>
    <w:rsid w:val="00535D5D"/>
    <w:rsid w:val="00584582"/>
    <w:rsid w:val="005B48DE"/>
    <w:rsid w:val="007203E0"/>
    <w:rsid w:val="00736F1A"/>
    <w:rsid w:val="007B1A90"/>
    <w:rsid w:val="007E060B"/>
    <w:rsid w:val="009063E9"/>
    <w:rsid w:val="00971DA7"/>
    <w:rsid w:val="009A7F3D"/>
    <w:rsid w:val="00A43BD6"/>
    <w:rsid w:val="00AB0AE4"/>
    <w:rsid w:val="00B13DBE"/>
    <w:rsid w:val="00B649EF"/>
    <w:rsid w:val="00C15CD4"/>
    <w:rsid w:val="00D82B13"/>
    <w:rsid w:val="00D97C5E"/>
    <w:rsid w:val="00E20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1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E2071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E2071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E2071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E2071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E2071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E2071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E2071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rsid w:val="00E20718"/>
    <w:pPr>
      <w:spacing w:before="100" w:beforeAutospacing="1" w:after="100" w:afterAutospacing="1"/>
    </w:pPr>
  </w:style>
  <w:style w:type="paragraph" w:styleId="Header">
    <w:name w:val="header"/>
    <w:basedOn w:val="Normal"/>
    <w:link w:val="HeaderChar"/>
    <w:uiPriority w:val="99"/>
    <w:unhideWhenUsed/>
    <w:rsid w:val="0032725F"/>
    <w:pPr>
      <w:tabs>
        <w:tab w:val="center" w:pos="4680"/>
        <w:tab w:val="right" w:pos="9360"/>
      </w:tabs>
    </w:pPr>
  </w:style>
  <w:style w:type="character" w:customStyle="1" w:styleId="HeaderChar">
    <w:name w:val="Header Char"/>
    <w:basedOn w:val="DefaultParagraphFont"/>
    <w:link w:val="Header"/>
    <w:uiPriority w:val="99"/>
    <w:rsid w:val="0032725F"/>
    <w:rPr>
      <w:rFonts w:eastAsiaTheme="minorEastAsia"/>
      <w:sz w:val="24"/>
      <w:szCs w:val="24"/>
    </w:rPr>
  </w:style>
  <w:style w:type="paragraph" w:styleId="Footer">
    <w:name w:val="footer"/>
    <w:basedOn w:val="Normal"/>
    <w:link w:val="FooterChar"/>
    <w:uiPriority w:val="99"/>
    <w:unhideWhenUsed/>
    <w:rsid w:val="0032725F"/>
    <w:pPr>
      <w:tabs>
        <w:tab w:val="center" w:pos="4680"/>
        <w:tab w:val="right" w:pos="9360"/>
      </w:tabs>
    </w:pPr>
  </w:style>
  <w:style w:type="character" w:customStyle="1" w:styleId="FooterChar">
    <w:name w:val="Footer Char"/>
    <w:basedOn w:val="DefaultParagraphFont"/>
    <w:link w:val="Footer"/>
    <w:uiPriority w:val="99"/>
    <w:rsid w:val="0032725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NEP-000</vt:lpstr>
    </vt:vector>
  </TitlesOfParts>
  <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NEP-000</dc:title>
  <dc:creator>Patrick</dc:creator>
  <cp:lastModifiedBy>Meredith</cp:lastModifiedBy>
  <cp:revision>4</cp:revision>
  <cp:lastPrinted>2015-05-29T20:07:00Z</cp:lastPrinted>
  <dcterms:created xsi:type="dcterms:W3CDTF">2016-02-24T20:01:00Z</dcterms:created>
  <dcterms:modified xsi:type="dcterms:W3CDTF">2016-02-24T20:04:00Z</dcterms:modified>
</cp:coreProperties>
</file>